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6956F" w14:textId="50F09FDD" w:rsidR="00AC4E2D" w:rsidRPr="001E70B9" w:rsidRDefault="00780813" w:rsidP="00AC4E2D">
      <w:pPr>
        <w:rPr>
          <w:b/>
        </w:rPr>
      </w:pPr>
      <w:r>
        <w:rPr>
          <w:b/>
          <w:color w:val="000000" w:themeColor="text1"/>
        </w:rPr>
        <w:t xml:space="preserve">                       </w:t>
      </w:r>
      <w:r w:rsidR="00AC4E2D" w:rsidRPr="001E70B9">
        <w:rPr>
          <w:b/>
          <w:color w:val="000000" w:themeColor="text1"/>
        </w:rPr>
        <w:t>АКТ ревизии финансово-хозяйственной деятельности ТСН</w:t>
      </w:r>
      <w:r w:rsidR="00CC47A9">
        <w:rPr>
          <w:b/>
          <w:color w:val="000000" w:themeColor="text1"/>
        </w:rPr>
        <w:t xml:space="preserve"> СНТ</w:t>
      </w:r>
      <w:r w:rsidR="00AC4E2D" w:rsidRPr="001E70B9">
        <w:rPr>
          <w:b/>
          <w:color w:val="000000" w:themeColor="text1"/>
        </w:rPr>
        <w:t xml:space="preserve"> «Спас-</w:t>
      </w:r>
      <w:proofErr w:type="gramStart"/>
      <w:r w:rsidR="00AC4E2D" w:rsidRPr="001E70B9">
        <w:rPr>
          <w:b/>
          <w:color w:val="000000" w:themeColor="text1"/>
        </w:rPr>
        <w:t>Каменка»</w:t>
      </w:r>
      <w:r w:rsidR="00240E88">
        <w:rPr>
          <w:b/>
          <w:color w:val="000000" w:themeColor="text1"/>
        </w:rPr>
        <w:t xml:space="preserve"> </w:t>
      </w:r>
      <w:bookmarkStart w:id="0" w:name="_GoBack"/>
      <w:bookmarkEnd w:id="0"/>
      <w:r w:rsidR="00AC4E2D" w:rsidRPr="001E70B9">
        <w:rPr>
          <w:b/>
          <w:color w:val="000000" w:themeColor="text1"/>
        </w:rPr>
        <w:t xml:space="preserve"> за</w:t>
      </w:r>
      <w:proofErr w:type="gramEnd"/>
      <w:r w:rsidR="00AC4E2D" w:rsidRPr="001E70B9">
        <w:rPr>
          <w:b/>
          <w:color w:val="000000" w:themeColor="text1"/>
        </w:rPr>
        <w:t xml:space="preserve"> период с 01</w:t>
      </w:r>
      <w:r w:rsidR="00240E88">
        <w:rPr>
          <w:b/>
          <w:color w:val="000000" w:themeColor="text1"/>
        </w:rPr>
        <w:t xml:space="preserve"> .0</w:t>
      </w:r>
      <w:r w:rsidR="00DC4591">
        <w:rPr>
          <w:b/>
          <w:color w:val="000000" w:themeColor="text1"/>
        </w:rPr>
        <w:t>6</w:t>
      </w:r>
      <w:r w:rsidR="00240E88">
        <w:rPr>
          <w:b/>
          <w:color w:val="000000" w:themeColor="text1"/>
        </w:rPr>
        <w:t>.</w:t>
      </w:r>
      <w:r w:rsidR="003322F4" w:rsidRPr="001E70B9">
        <w:rPr>
          <w:b/>
          <w:color w:val="000000" w:themeColor="text1"/>
        </w:rPr>
        <w:t xml:space="preserve"> </w:t>
      </w:r>
      <w:r w:rsidR="00AC4E2D" w:rsidRPr="001E70B9">
        <w:rPr>
          <w:b/>
          <w:color w:val="000000" w:themeColor="text1"/>
        </w:rPr>
        <w:t>202</w:t>
      </w:r>
      <w:r w:rsidR="0068751B">
        <w:rPr>
          <w:b/>
          <w:color w:val="000000" w:themeColor="text1"/>
        </w:rPr>
        <w:t>4</w:t>
      </w:r>
      <w:r w:rsidR="00AC4E2D" w:rsidRPr="001E70B9">
        <w:rPr>
          <w:b/>
          <w:color w:val="000000" w:themeColor="text1"/>
        </w:rPr>
        <w:t xml:space="preserve"> г. по 3</w:t>
      </w:r>
      <w:r w:rsidR="00DC4591">
        <w:rPr>
          <w:b/>
          <w:color w:val="000000" w:themeColor="text1"/>
        </w:rPr>
        <w:t>1</w:t>
      </w:r>
      <w:r w:rsidR="00AC4E2D" w:rsidRPr="001E70B9">
        <w:rPr>
          <w:b/>
          <w:color w:val="000000" w:themeColor="text1"/>
        </w:rPr>
        <w:t>.0</w:t>
      </w:r>
      <w:r w:rsidR="00240E88">
        <w:rPr>
          <w:b/>
          <w:color w:val="000000" w:themeColor="text1"/>
        </w:rPr>
        <w:t>5.</w:t>
      </w:r>
      <w:r w:rsidR="00AC4E2D" w:rsidRPr="001E70B9">
        <w:rPr>
          <w:b/>
          <w:color w:val="000000" w:themeColor="text1"/>
        </w:rPr>
        <w:t xml:space="preserve"> 202</w:t>
      </w:r>
      <w:r w:rsidR="0068751B">
        <w:rPr>
          <w:b/>
          <w:color w:val="000000" w:themeColor="text1"/>
        </w:rPr>
        <w:t>5</w:t>
      </w:r>
      <w:r w:rsidR="00AC4E2D" w:rsidRPr="001E70B9">
        <w:rPr>
          <w:b/>
          <w:color w:val="000000" w:themeColor="text1"/>
        </w:rPr>
        <w:t xml:space="preserve"> г</w:t>
      </w:r>
      <w:r w:rsidR="00AC4E2D" w:rsidRPr="001E70B9">
        <w:rPr>
          <w:b/>
        </w:rPr>
        <w:t>.</w:t>
      </w:r>
      <w:r w:rsidR="00813275">
        <w:rPr>
          <w:b/>
        </w:rPr>
        <w:t xml:space="preserve"> от 5 июля 202</w:t>
      </w:r>
      <w:r w:rsidR="00AA0580">
        <w:rPr>
          <w:b/>
        </w:rPr>
        <w:t>5</w:t>
      </w:r>
      <w:r w:rsidR="00813275">
        <w:rPr>
          <w:b/>
        </w:rPr>
        <w:t xml:space="preserve"> г.</w:t>
      </w:r>
    </w:p>
    <w:p w14:paraId="273894B2" w14:textId="77777777" w:rsidR="00911CDA" w:rsidRDefault="00AC4E2D" w:rsidP="00911CDA">
      <w:r>
        <w:t xml:space="preserve"> </w:t>
      </w:r>
    </w:p>
    <w:p w14:paraId="26BD0C45" w14:textId="204BD7C1" w:rsidR="00AC4E2D" w:rsidRPr="006A3F8A" w:rsidRDefault="00911CDA" w:rsidP="00911CDA">
      <w:pPr>
        <w:rPr>
          <w:rFonts w:cstheme="minorHAnsi"/>
        </w:rPr>
      </w:pPr>
      <w:r>
        <w:t xml:space="preserve">  </w:t>
      </w:r>
      <w:r w:rsidR="00AC4E2D" w:rsidRPr="006A3F8A">
        <w:rPr>
          <w:rFonts w:cstheme="minorHAnsi"/>
        </w:rPr>
        <w:t xml:space="preserve">Ревизия финансово-хозяйственной деятельности </w:t>
      </w:r>
      <w:r w:rsidR="00240E88" w:rsidRPr="006A3F8A">
        <w:rPr>
          <w:rFonts w:cstheme="minorHAnsi"/>
        </w:rPr>
        <w:t xml:space="preserve"> </w:t>
      </w:r>
      <w:r w:rsidR="00AC4E2D" w:rsidRPr="006A3F8A">
        <w:rPr>
          <w:rFonts w:cstheme="minorHAnsi"/>
        </w:rPr>
        <w:t xml:space="preserve"> </w:t>
      </w:r>
      <w:r w:rsidR="00240E88" w:rsidRPr="006A3F8A">
        <w:rPr>
          <w:rFonts w:cstheme="minorHAnsi"/>
        </w:rPr>
        <w:t>ТСН</w:t>
      </w:r>
      <w:r w:rsidR="0068751B">
        <w:rPr>
          <w:rFonts w:cstheme="minorHAnsi"/>
        </w:rPr>
        <w:t xml:space="preserve"> СНТ</w:t>
      </w:r>
      <w:r w:rsidR="00240E88" w:rsidRPr="006A3F8A">
        <w:rPr>
          <w:rFonts w:cstheme="minorHAnsi"/>
        </w:rPr>
        <w:t xml:space="preserve"> «Спас-Каменка»</w:t>
      </w:r>
      <w:r w:rsidR="001A493C">
        <w:rPr>
          <w:rFonts w:cstheme="minorHAnsi"/>
        </w:rPr>
        <w:t>,</w:t>
      </w:r>
      <w:r w:rsidR="00240E88" w:rsidRPr="006A3F8A">
        <w:rPr>
          <w:rFonts w:cstheme="minorHAnsi"/>
        </w:rPr>
        <w:t xml:space="preserve"> далее ТСН</w:t>
      </w:r>
      <w:r w:rsidR="00AA0580">
        <w:rPr>
          <w:rFonts w:cstheme="minorHAnsi"/>
        </w:rPr>
        <w:t xml:space="preserve"> СНТ </w:t>
      </w:r>
      <w:r w:rsidR="00240E88" w:rsidRPr="006A3F8A">
        <w:rPr>
          <w:rFonts w:cstheme="minorHAnsi"/>
        </w:rPr>
        <w:t xml:space="preserve"> </w:t>
      </w:r>
      <w:r w:rsidR="00AC4E2D" w:rsidRPr="006A3F8A">
        <w:rPr>
          <w:rFonts w:cstheme="minorHAnsi"/>
        </w:rPr>
        <w:t xml:space="preserve"> проводилась</w:t>
      </w:r>
      <w:r w:rsidR="00AA0580">
        <w:rPr>
          <w:rFonts w:cstheme="minorHAnsi"/>
        </w:rPr>
        <w:t xml:space="preserve"> </w:t>
      </w:r>
      <w:r w:rsidR="00AC4E2D" w:rsidRPr="006A3F8A">
        <w:rPr>
          <w:rFonts w:cstheme="minorHAnsi"/>
        </w:rPr>
        <w:t>Ревизионной комиссией</w:t>
      </w:r>
      <w:r w:rsidR="0068751B">
        <w:rPr>
          <w:rFonts w:cstheme="minorHAnsi"/>
        </w:rPr>
        <w:t xml:space="preserve"> </w:t>
      </w:r>
      <w:r w:rsidR="00AC4E2D" w:rsidRPr="006A3F8A">
        <w:rPr>
          <w:rFonts w:cstheme="minorHAnsi"/>
        </w:rPr>
        <w:t>Иванов</w:t>
      </w:r>
      <w:r w:rsidR="00240E88" w:rsidRPr="006A3F8A">
        <w:rPr>
          <w:rFonts w:cstheme="minorHAnsi"/>
        </w:rPr>
        <w:t>ой</w:t>
      </w:r>
      <w:r w:rsidR="00842864" w:rsidRPr="006A3F8A">
        <w:rPr>
          <w:rFonts w:cstheme="minorHAnsi"/>
        </w:rPr>
        <w:t xml:space="preserve"> </w:t>
      </w:r>
      <w:r w:rsidR="00AC4E2D" w:rsidRPr="006A3F8A">
        <w:rPr>
          <w:rFonts w:cstheme="minorHAnsi"/>
        </w:rPr>
        <w:t>Е.И.</w:t>
      </w:r>
    </w:p>
    <w:p w14:paraId="4E7791F8" w14:textId="7052ECC0" w:rsidR="00AC4E2D" w:rsidRPr="006A3F8A" w:rsidRDefault="00AC4E2D" w:rsidP="00AC4E2D">
      <w:pPr>
        <w:rPr>
          <w:rFonts w:cstheme="minorHAnsi"/>
          <w:b/>
          <w:bCs/>
        </w:rPr>
      </w:pPr>
      <w:r w:rsidRPr="006A3F8A">
        <w:rPr>
          <w:rFonts w:cstheme="minorHAnsi"/>
        </w:rPr>
        <w:t xml:space="preserve"> </w:t>
      </w:r>
      <w:r w:rsidR="00780813" w:rsidRPr="006A3F8A">
        <w:rPr>
          <w:rFonts w:cstheme="minorHAnsi"/>
          <w:b/>
          <w:bCs/>
        </w:rPr>
        <w:t>Правление</w:t>
      </w:r>
      <w:r w:rsidRPr="006A3F8A">
        <w:rPr>
          <w:rFonts w:cstheme="minorHAnsi"/>
          <w:b/>
          <w:bCs/>
        </w:rPr>
        <w:t>:</w:t>
      </w:r>
    </w:p>
    <w:p w14:paraId="3E7C1E9E" w14:textId="211B2BEB" w:rsidR="00AE7E35" w:rsidRPr="006A3F8A" w:rsidRDefault="00911CDA" w:rsidP="00AE7E35">
      <w:pPr>
        <w:rPr>
          <w:rFonts w:cstheme="minorHAnsi"/>
        </w:rPr>
      </w:pPr>
      <w:r>
        <w:rPr>
          <w:rFonts w:cstheme="minorHAnsi"/>
        </w:rPr>
        <w:t xml:space="preserve">  </w:t>
      </w:r>
      <w:r w:rsidR="00AE7E35" w:rsidRPr="006A3F8A">
        <w:rPr>
          <w:rFonts w:cstheme="minorHAnsi"/>
        </w:rPr>
        <w:t xml:space="preserve">Состав Правления </w:t>
      </w:r>
      <w:r w:rsidR="00BE78E1" w:rsidRPr="006A3F8A">
        <w:rPr>
          <w:rFonts w:cstheme="minorHAnsi"/>
        </w:rPr>
        <w:t>(Во исполнение протокол</w:t>
      </w:r>
      <w:r w:rsidR="00BE78E1" w:rsidRPr="00AA0580">
        <w:rPr>
          <w:rFonts w:cstheme="minorHAnsi"/>
        </w:rPr>
        <w:t xml:space="preserve">а № </w:t>
      </w:r>
      <w:r w:rsidR="00A71223" w:rsidRPr="00AA0580">
        <w:rPr>
          <w:rFonts w:cstheme="minorHAnsi"/>
        </w:rPr>
        <w:t>1</w:t>
      </w:r>
      <w:r w:rsidR="00AA0580" w:rsidRPr="00AA0580">
        <w:rPr>
          <w:rFonts w:cstheme="minorHAnsi"/>
        </w:rPr>
        <w:t>3-14.07.24</w:t>
      </w:r>
      <w:r w:rsidR="00BE78E1" w:rsidRPr="00AA0580">
        <w:rPr>
          <w:rFonts w:cstheme="minorHAnsi"/>
        </w:rPr>
        <w:t xml:space="preserve"> очередного </w:t>
      </w:r>
      <w:r w:rsidR="00BE78E1" w:rsidRPr="006A3F8A">
        <w:rPr>
          <w:rFonts w:cstheme="minorHAnsi"/>
        </w:rPr>
        <w:t xml:space="preserve">общего собрания членов ТСН </w:t>
      </w:r>
      <w:r w:rsidR="00AA0580">
        <w:rPr>
          <w:rFonts w:cstheme="minorHAnsi"/>
        </w:rPr>
        <w:t xml:space="preserve">СНТ </w:t>
      </w:r>
      <w:r w:rsidR="00BE78E1" w:rsidRPr="006A3F8A">
        <w:rPr>
          <w:rFonts w:cstheme="minorHAnsi"/>
        </w:rPr>
        <w:t xml:space="preserve">от </w:t>
      </w:r>
      <w:r w:rsidR="0068751B">
        <w:rPr>
          <w:rFonts w:cstheme="minorHAnsi"/>
        </w:rPr>
        <w:t>1</w:t>
      </w:r>
      <w:r w:rsidR="00BE78E1" w:rsidRPr="006A3F8A">
        <w:rPr>
          <w:rFonts w:cstheme="minorHAnsi"/>
        </w:rPr>
        <w:t>4.0</w:t>
      </w:r>
      <w:r w:rsidR="00AA0580">
        <w:rPr>
          <w:rFonts w:cstheme="minorHAnsi"/>
        </w:rPr>
        <w:t>7</w:t>
      </w:r>
      <w:r w:rsidR="00BE78E1" w:rsidRPr="006A3F8A">
        <w:rPr>
          <w:rFonts w:cstheme="minorHAnsi"/>
        </w:rPr>
        <w:t>.202</w:t>
      </w:r>
      <w:r w:rsidR="0068751B">
        <w:rPr>
          <w:rFonts w:cstheme="minorHAnsi"/>
        </w:rPr>
        <w:t>4</w:t>
      </w:r>
      <w:r w:rsidR="00BE78E1" w:rsidRPr="006A3F8A">
        <w:rPr>
          <w:rFonts w:cstheme="minorHAnsi"/>
        </w:rPr>
        <w:t xml:space="preserve"> </w:t>
      </w:r>
      <w:r w:rsidR="0068751B">
        <w:rPr>
          <w:rFonts w:cstheme="minorHAnsi"/>
        </w:rPr>
        <w:t>г.</w:t>
      </w:r>
      <w:r w:rsidR="00BE78E1" w:rsidRPr="006A3F8A">
        <w:rPr>
          <w:rFonts w:cstheme="minorHAnsi"/>
        </w:rPr>
        <w:t>)</w:t>
      </w:r>
      <w:r w:rsidR="00AE7E35" w:rsidRPr="006A3F8A">
        <w:rPr>
          <w:rFonts w:cstheme="minorHAnsi"/>
        </w:rPr>
        <w:t>:</w:t>
      </w:r>
    </w:p>
    <w:p w14:paraId="207BF99C" w14:textId="160C46F5" w:rsidR="00AE7E35" w:rsidRPr="006A3F8A" w:rsidRDefault="00AE7E35" w:rsidP="00AE7E35">
      <w:pPr>
        <w:rPr>
          <w:rFonts w:cstheme="minorHAnsi"/>
        </w:rPr>
      </w:pPr>
      <w:r w:rsidRPr="006A3F8A">
        <w:rPr>
          <w:rFonts w:cstheme="minorHAnsi"/>
        </w:rPr>
        <w:t>-</w:t>
      </w:r>
      <w:r w:rsidR="00240E88" w:rsidRPr="006A3F8A">
        <w:rPr>
          <w:rFonts w:cstheme="minorHAnsi"/>
        </w:rPr>
        <w:t xml:space="preserve"> </w:t>
      </w:r>
      <w:r w:rsidRPr="006A3F8A">
        <w:rPr>
          <w:rFonts w:cstheme="minorHAnsi"/>
        </w:rPr>
        <w:t xml:space="preserve"> </w:t>
      </w:r>
      <w:proofErr w:type="spellStart"/>
      <w:r w:rsidRPr="006A3F8A">
        <w:rPr>
          <w:rFonts w:cstheme="minorHAnsi"/>
        </w:rPr>
        <w:t>Ананов</w:t>
      </w:r>
      <w:proofErr w:type="spellEnd"/>
      <w:r w:rsidRPr="006A3F8A">
        <w:rPr>
          <w:rFonts w:cstheme="minorHAnsi"/>
        </w:rPr>
        <w:t xml:space="preserve"> С.Э. </w:t>
      </w:r>
      <w:r w:rsidR="00AC4E2D" w:rsidRPr="006A3F8A">
        <w:rPr>
          <w:rFonts w:cstheme="minorHAnsi"/>
        </w:rPr>
        <w:t>Председател</w:t>
      </w:r>
      <w:r w:rsidRPr="006A3F8A">
        <w:rPr>
          <w:rFonts w:cstheme="minorHAnsi"/>
        </w:rPr>
        <w:t>ь</w:t>
      </w:r>
      <w:r w:rsidR="00AC4E2D" w:rsidRPr="006A3F8A">
        <w:rPr>
          <w:rFonts w:cstheme="minorHAnsi"/>
        </w:rPr>
        <w:t xml:space="preserve"> Правления</w:t>
      </w:r>
    </w:p>
    <w:p w14:paraId="1936B37D" w14:textId="4780E306" w:rsidR="00AE7E35" w:rsidRPr="006A3F8A" w:rsidRDefault="00AE7E35" w:rsidP="00AE7E35">
      <w:pPr>
        <w:rPr>
          <w:rFonts w:cstheme="minorHAnsi"/>
        </w:rPr>
      </w:pPr>
      <w:r w:rsidRPr="006A3F8A">
        <w:rPr>
          <w:rFonts w:cstheme="minorHAnsi"/>
        </w:rPr>
        <w:t xml:space="preserve">- </w:t>
      </w:r>
      <w:r w:rsidR="00A71223">
        <w:rPr>
          <w:rFonts w:cstheme="minorHAnsi"/>
        </w:rPr>
        <w:t>Л</w:t>
      </w:r>
      <w:r w:rsidR="0068751B">
        <w:rPr>
          <w:rFonts w:cstheme="minorHAnsi"/>
        </w:rPr>
        <w:t>еонова О.И.</w:t>
      </w:r>
      <w:r w:rsidRPr="006A3F8A">
        <w:rPr>
          <w:rFonts w:cstheme="minorHAnsi"/>
        </w:rPr>
        <w:t xml:space="preserve"> член Правления     </w:t>
      </w:r>
    </w:p>
    <w:p w14:paraId="6290870B" w14:textId="5DBB7ACD" w:rsidR="00AE7E35" w:rsidRPr="006A3F8A" w:rsidRDefault="00AE7E35" w:rsidP="00AE7E35">
      <w:pPr>
        <w:rPr>
          <w:rFonts w:cstheme="minorHAnsi"/>
        </w:rPr>
      </w:pPr>
      <w:r w:rsidRPr="006A3F8A">
        <w:rPr>
          <w:rFonts w:cstheme="minorHAnsi"/>
        </w:rPr>
        <w:t xml:space="preserve">- </w:t>
      </w:r>
      <w:proofErr w:type="spellStart"/>
      <w:r w:rsidRPr="006A3F8A">
        <w:rPr>
          <w:rFonts w:cstheme="minorHAnsi"/>
        </w:rPr>
        <w:t>Курильчик</w:t>
      </w:r>
      <w:proofErr w:type="spellEnd"/>
      <w:r w:rsidRPr="006A3F8A">
        <w:rPr>
          <w:rFonts w:cstheme="minorHAnsi"/>
        </w:rPr>
        <w:t xml:space="preserve"> С</w:t>
      </w:r>
      <w:r w:rsidR="001A493C">
        <w:rPr>
          <w:rFonts w:cstheme="minorHAnsi"/>
        </w:rPr>
        <w:t>.</w:t>
      </w:r>
      <w:r w:rsidRPr="006A3F8A">
        <w:rPr>
          <w:rFonts w:cstheme="minorHAnsi"/>
        </w:rPr>
        <w:t>В</w:t>
      </w:r>
      <w:r w:rsidR="001A493C">
        <w:rPr>
          <w:rFonts w:cstheme="minorHAnsi"/>
        </w:rPr>
        <w:t>.</w:t>
      </w:r>
      <w:r w:rsidRPr="006A3F8A">
        <w:rPr>
          <w:rFonts w:cstheme="minorHAnsi"/>
        </w:rPr>
        <w:t xml:space="preserve"> член Правления </w:t>
      </w:r>
    </w:p>
    <w:p w14:paraId="5C27B727" w14:textId="48070B84" w:rsidR="00AC4E2D" w:rsidRPr="006A3F8A" w:rsidRDefault="00AE7E35" w:rsidP="00AE7E35">
      <w:pPr>
        <w:rPr>
          <w:rFonts w:cstheme="minorHAnsi"/>
        </w:rPr>
      </w:pPr>
      <w:r w:rsidRPr="006A3F8A">
        <w:rPr>
          <w:rFonts w:cstheme="minorHAnsi"/>
        </w:rPr>
        <w:t xml:space="preserve">- </w:t>
      </w:r>
      <w:proofErr w:type="spellStart"/>
      <w:r w:rsidR="0068751B">
        <w:rPr>
          <w:rFonts w:cstheme="minorHAnsi"/>
        </w:rPr>
        <w:t>Мандрика</w:t>
      </w:r>
      <w:proofErr w:type="spellEnd"/>
      <w:r w:rsidR="0068751B">
        <w:rPr>
          <w:rFonts w:cstheme="minorHAnsi"/>
        </w:rPr>
        <w:t xml:space="preserve"> К.</w:t>
      </w:r>
      <w:r w:rsidR="00A71223">
        <w:rPr>
          <w:rFonts w:cstheme="minorHAnsi"/>
        </w:rPr>
        <w:t>С.</w:t>
      </w:r>
      <w:r w:rsidRPr="006A3F8A">
        <w:rPr>
          <w:rFonts w:cstheme="minorHAnsi"/>
        </w:rPr>
        <w:t xml:space="preserve"> член </w:t>
      </w:r>
      <w:r w:rsidR="00BE78E1" w:rsidRPr="006A3F8A">
        <w:rPr>
          <w:rFonts w:cstheme="minorHAnsi"/>
        </w:rPr>
        <w:t>Правления</w:t>
      </w:r>
    </w:p>
    <w:p w14:paraId="6CC44073" w14:textId="77777777" w:rsidR="00AC4E2D" w:rsidRPr="006A3F8A" w:rsidRDefault="00AC4E2D" w:rsidP="00AC4E2D">
      <w:pPr>
        <w:rPr>
          <w:rFonts w:cstheme="minorHAnsi"/>
        </w:rPr>
      </w:pPr>
    </w:p>
    <w:p w14:paraId="21A13673" w14:textId="77777777" w:rsidR="007F3809" w:rsidRPr="006A3F8A" w:rsidRDefault="00240E88" w:rsidP="007F3809">
      <w:pPr>
        <w:rPr>
          <w:rFonts w:cstheme="minorHAnsi"/>
        </w:rPr>
      </w:pPr>
      <w:r w:rsidRPr="006A3F8A">
        <w:rPr>
          <w:rFonts w:cstheme="minorHAnsi"/>
        </w:rPr>
        <w:t>Р</w:t>
      </w:r>
      <w:r w:rsidR="007F3809" w:rsidRPr="006A3F8A">
        <w:rPr>
          <w:rFonts w:cstheme="minorHAnsi"/>
        </w:rPr>
        <w:t>евизионной</w:t>
      </w:r>
      <w:r w:rsidR="00797512" w:rsidRPr="006A3F8A">
        <w:rPr>
          <w:rFonts w:cstheme="minorHAnsi"/>
        </w:rPr>
        <w:t xml:space="preserve"> </w:t>
      </w:r>
      <w:r w:rsidR="007F3809" w:rsidRPr="006A3F8A">
        <w:rPr>
          <w:rFonts w:cstheme="minorHAnsi"/>
        </w:rPr>
        <w:t xml:space="preserve">  </w:t>
      </w:r>
      <w:r w:rsidR="00797512" w:rsidRPr="006A3F8A">
        <w:rPr>
          <w:rFonts w:cstheme="minorHAnsi"/>
        </w:rPr>
        <w:t xml:space="preserve">комиссией   были проверены </w:t>
      </w:r>
      <w:r w:rsidR="007F3809" w:rsidRPr="006A3F8A">
        <w:rPr>
          <w:rFonts w:cstheme="minorHAnsi"/>
        </w:rPr>
        <w:t xml:space="preserve"> </w:t>
      </w:r>
      <w:r w:rsidR="00797512" w:rsidRPr="006A3F8A">
        <w:rPr>
          <w:rFonts w:cstheme="minorHAnsi"/>
        </w:rPr>
        <w:t xml:space="preserve"> </w:t>
      </w:r>
      <w:r w:rsidR="007F3809" w:rsidRPr="006A3F8A">
        <w:rPr>
          <w:rFonts w:cstheme="minorHAnsi"/>
        </w:rPr>
        <w:t>следующие документы</w:t>
      </w:r>
      <w:r w:rsidR="00797512" w:rsidRPr="006A3F8A">
        <w:rPr>
          <w:rFonts w:cstheme="minorHAnsi"/>
        </w:rPr>
        <w:t>;</w:t>
      </w:r>
      <w:r w:rsidRPr="006A3F8A">
        <w:rPr>
          <w:rFonts w:cstheme="minorHAnsi"/>
        </w:rPr>
        <w:t xml:space="preserve"> </w:t>
      </w:r>
    </w:p>
    <w:p w14:paraId="40B29293" w14:textId="5AF2A8FF" w:rsidR="007F3809" w:rsidRPr="006A3F8A" w:rsidRDefault="007F3809" w:rsidP="00797512">
      <w:pPr>
        <w:pStyle w:val="a3"/>
        <w:numPr>
          <w:ilvl w:val="0"/>
          <w:numId w:val="5"/>
        </w:numPr>
        <w:rPr>
          <w:rFonts w:cstheme="minorHAnsi"/>
        </w:rPr>
      </w:pPr>
      <w:r w:rsidRPr="006A3F8A">
        <w:rPr>
          <w:rFonts w:cstheme="minorHAnsi"/>
        </w:rPr>
        <w:t xml:space="preserve"> Банковские   документы (банковские выписки</w:t>
      </w:r>
      <w:r w:rsidR="00240E88" w:rsidRPr="006A3F8A">
        <w:rPr>
          <w:rFonts w:cstheme="minorHAnsi"/>
        </w:rPr>
        <w:t>)</w:t>
      </w:r>
      <w:r w:rsidR="00640210">
        <w:rPr>
          <w:rFonts w:cstheme="minorHAnsi"/>
        </w:rPr>
        <w:t>;</w:t>
      </w:r>
    </w:p>
    <w:p w14:paraId="1DADDF1B" w14:textId="29CBB16B" w:rsidR="007F3809" w:rsidRPr="006A3F8A" w:rsidRDefault="007F3809" w:rsidP="00797512">
      <w:pPr>
        <w:pStyle w:val="a3"/>
        <w:numPr>
          <w:ilvl w:val="0"/>
          <w:numId w:val="5"/>
        </w:numPr>
        <w:rPr>
          <w:rFonts w:cstheme="minorHAnsi"/>
        </w:rPr>
      </w:pPr>
      <w:r w:rsidRPr="006A3F8A">
        <w:rPr>
          <w:rFonts w:cstheme="minorHAnsi"/>
        </w:rPr>
        <w:t xml:space="preserve"> Трудовые договор</w:t>
      </w:r>
      <w:r w:rsidR="001E70B9" w:rsidRPr="006A3F8A">
        <w:rPr>
          <w:rFonts w:cstheme="minorHAnsi"/>
        </w:rPr>
        <w:t>ы</w:t>
      </w:r>
      <w:r w:rsidR="00240E88" w:rsidRPr="006A3F8A">
        <w:rPr>
          <w:rFonts w:cstheme="minorHAnsi"/>
        </w:rPr>
        <w:t>,</w:t>
      </w:r>
      <w:r w:rsidRPr="006A3F8A">
        <w:rPr>
          <w:rFonts w:cstheme="minorHAnsi"/>
        </w:rPr>
        <w:t xml:space="preserve"> </w:t>
      </w:r>
      <w:proofErr w:type="gramStart"/>
      <w:r w:rsidRPr="006A3F8A">
        <w:rPr>
          <w:rFonts w:cstheme="minorHAnsi"/>
        </w:rPr>
        <w:t>договор</w:t>
      </w:r>
      <w:r w:rsidR="001E70B9" w:rsidRPr="006A3F8A">
        <w:rPr>
          <w:rFonts w:cstheme="minorHAnsi"/>
        </w:rPr>
        <w:t xml:space="preserve">ы </w:t>
      </w:r>
      <w:r w:rsidRPr="006A3F8A">
        <w:rPr>
          <w:rFonts w:cstheme="minorHAnsi"/>
        </w:rPr>
        <w:t xml:space="preserve"> об</w:t>
      </w:r>
      <w:proofErr w:type="gramEnd"/>
      <w:r w:rsidRPr="006A3F8A">
        <w:rPr>
          <w:rFonts w:cstheme="minorHAnsi"/>
        </w:rPr>
        <w:t xml:space="preserve"> оказании услуг, </w:t>
      </w:r>
      <w:r w:rsidR="00AA0580">
        <w:rPr>
          <w:rFonts w:cstheme="minorHAnsi"/>
        </w:rPr>
        <w:t xml:space="preserve"> </w:t>
      </w:r>
      <w:r w:rsidR="00F5409A">
        <w:rPr>
          <w:rFonts w:cstheme="minorHAnsi"/>
        </w:rPr>
        <w:t>договоры строительного подряда,</w:t>
      </w:r>
      <w:r w:rsidR="00240E88" w:rsidRPr="006A3F8A">
        <w:rPr>
          <w:rFonts w:cstheme="minorHAnsi"/>
        </w:rPr>
        <w:t xml:space="preserve"> договоры купли-продажи,</w:t>
      </w:r>
      <w:r w:rsidRPr="006A3F8A">
        <w:rPr>
          <w:rFonts w:cstheme="minorHAnsi"/>
        </w:rPr>
        <w:t xml:space="preserve"> прочие</w:t>
      </w:r>
      <w:r w:rsidR="00240E88" w:rsidRPr="006A3F8A">
        <w:rPr>
          <w:rFonts w:cstheme="minorHAnsi"/>
        </w:rPr>
        <w:t xml:space="preserve"> договоры, счета, УПД</w:t>
      </w:r>
      <w:r w:rsidRPr="006A3F8A">
        <w:rPr>
          <w:rFonts w:cstheme="minorHAnsi"/>
        </w:rPr>
        <w:t>;</w:t>
      </w:r>
    </w:p>
    <w:p w14:paraId="3254D026" w14:textId="36EDC49D" w:rsidR="00797512" w:rsidRPr="006A3F8A" w:rsidRDefault="007F3809" w:rsidP="00797512">
      <w:pPr>
        <w:pStyle w:val="a3"/>
        <w:numPr>
          <w:ilvl w:val="0"/>
          <w:numId w:val="5"/>
        </w:numPr>
        <w:rPr>
          <w:rFonts w:cstheme="minorHAnsi"/>
        </w:rPr>
      </w:pPr>
      <w:r w:rsidRPr="006A3F8A">
        <w:rPr>
          <w:rFonts w:cstheme="minorHAnsi"/>
        </w:rPr>
        <w:t xml:space="preserve"> Документы учет</w:t>
      </w:r>
      <w:r w:rsidR="00240E88" w:rsidRPr="006A3F8A">
        <w:rPr>
          <w:rFonts w:cstheme="minorHAnsi"/>
        </w:rPr>
        <w:t xml:space="preserve">а  </w:t>
      </w:r>
      <w:r w:rsidRPr="006A3F8A">
        <w:rPr>
          <w:rFonts w:cstheme="minorHAnsi"/>
        </w:rPr>
        <w:t xml:space="preserve"> финансово-хозяйственной деятельности</w:t>
      </w:r>
      <w:r w:rsidR="00240E88" w:rsidRPr="006A3F8A">
        <w:rPr>
          <w:rFonts w:cstheme="minorHAnsi"/>
        </w:rPr>
        <w:t xml:space="preserve">, бухгалтерская база </w:t>
      </w:r>
      <w:proofErr w:type="gramStart"/>
      <w:r w:rsidR="00240E88" w:rsidRPr="006A3F8A">
        <w:rPr>
          <w:rFonts w:cstheme="minorHAnsi"/>
        </w:rPr>
        <w:t>по  бухгалтерскому</w:t>
      </w:r>
      <w:proofErr w:type="gramEnd"/>
      <w:r w:rsidR="00240E88" w:rsidRPr="006A3F8A">
        <w:rPr>
          <w:rFonts w:cstheme="minorHAnsi"/>
        </w:rPr>
        <w:t>/налоговому  учету</w:t>
      </w:r>
      <w:r w:rsidR="00793EEA" w:rsidRPr="006A3F8A">
        <w:rPr>
          <w:rFonts w:cstheme="minorHAnsi"/>
        </w:rPr>
        <w:t>;</w:t>
      </w:r>
      <w:r w:rsidR="00240E88" w:rsidRPr="006A3F8A">
        <w:rPr>
          <w:rFonts w:cstheme="minorHAnsi"/>
        </w:rPr>
        <w:t xml:space="preserve"> </w:t>
      </w:r>
      <w:r w:rsidRPr="006A3F8A">
        <w:rPr>
          <w:rFonts w:cstheme="minorHAnsi"/>
        </w:rPr>
        <w:t xml:space="preserve">  </w:t>
      </w:r>
    </w:p>
    <w:p w14:paraId="7AC20443" w14:textId="67B425EE" w:rsidR="007F3809" w:rsidRPr="006A3F8A" w:rsidRDefault="007F3809" w:rsidP="00797512">
      <w:pPr>
        <w:pStyle w:val="a3"/>
        <w:numPr>
          <w:ilvl w:val="0"/>
          <w:numId w:val="5"/>
        </w:numPr>
        <w:rPr>
          <w:rFonts w:cstheme="minorHAnsi"/>
        </w:rPr>
      </w:pPr>
      <w:r w:rsidRPr="006A3F8A">
        <w:rPr>
          <w:rFonts w:cstheme="minorHAnsi"/>
        </w:rPr>
        <w:t>Протоколы общих собраний собственников</w:t>
      </w:r>
      <w:r w:rsidR="00793EEA" w:rsidRPr="006A3F8A">
        <w:rPr>
          <w:rFonts w:cstheme="minorHAnsi"/>
        </w:rPr>
        <w:t>;</w:t>
      </w:r>
    </w:p>
    <w:p w14:paraId="002A82F8" w14:textId="5A9C9EB0" w:rsidR="001E70B9" w:rsidRDefault="001E70B9" w:rsidP="00797512">
      <w:pPr>
        <w:pStyle w:val="a3"/>
        <w:numPr>
          <w:ilvl w:val="0"/>
          <w:numId w:val="5"/>
        </w:numPr>
        <w:rPr>
          <w:rFonts w:cstheme="minorHAnsi"/>
        </w:rPr>
      </w:pPr>
      <w:r w:rsidRPr="006A3F8A">
        <w:rPr>
          <w:rFonts w:cstheme="minorHAnsi"/>
        </w:rPr>
        <w:t>Протоколы заседаний Правления</w:t>
      </w:r>
      <w:r w:rsidR="00793EEA" w:rsidRPr="006A3F8A">
        <w:rPr>
          <w:rFonts w:cstheme="minorHAnsi"/>
        </w:rPr>
        <w:t>.</w:t>
      </w:r>
    </w:p>
    <w:p w14:paraId="27B5B0AD" w14:textId="77777777" w:rsidR="00911CDA" w:rsidRDefault="00ED0D97" w:rsidP="00911CDA">
      <w:pPr>
        <w:rPr>
          <w:rFonts w:cstheme="minorHAnsi"/>
        </w:rPr>
      </w:pPr>
      <w:r>
        <w:rPr>
          <w:rFonts w:cstheme="minorHAnsi"/>
        </w:rPr>
        <w:t>1</w:t>
      </w:r>
      <w:r w:rsidRPr="00ED0D97">
        <w:rPr>
          <w:rFonts w:cstheme="minorHAnsi"/>
        </w:rPr>
        <w:t>.  Земли общего пользования находятся в собственности ТСН</w:t>
      </w:r>
      <w:r w:rsidR="00F5409A">
        <w:rPr>
          <w:rFonts w:cstheme="minorHAnsi"/>
        </w:rPr>
        <w:t xml:space="preserve"> СНТ</w:t>
      </w:r>
      <w:r w:rsidRPr="00ED0D97">
        <w:rPr>
          <w:rFonts w:cstheme="minorHAnsi"/>
        </w:rPr>
        <w:t xml:space="preserve">, и являются имуществом общего пользования, принадлежат каждому собственнику на праве общей долевой собственности пропорционально площади каждого земельного участка. Документы, подтверждающие права собственности </w:t>
      </w:r>
      <w:proofErr w:type="gramStart"/>
      <w:r w:rsidRPr="00ED0D97">
        <w:rPr>
          <w:rFonts w:cstheme="minorHAnsi"/>
        </w:rPr>
        <w:t xml:space="preserve">ТСН </w:t>
      </w:r>
      <w:r w:rsidR="00F5409A">
        <w:rPr>
          <w:rFonts w:cstheme="minorHAnsi"/>
        </w:rPr>
        <w:t xml:space="preserve"> СНТ</w:t>
      </w:r>
      <w:proofErr w:type="gramEnd"/>
      <w:r w:rsidR="00F5409A">
        <w:rPr>
          <w:rFonts w:cstheme="minorHAnsi"/>
        </w:rPr>
        <w:t xml:space="preserve"> </w:t>
      </w:r>
      <w:r w:rsidRPr="00ED0D97">
        <w:rPr>
          <w:rFonts w:cstheme="minorHAnsi"/>
        </w:rPr>
        <w:t>(права долевой собственности собственников, планы межевания) прилагаются</w:t>
      </w:r>
      <w:r w:rsidR="00F5409A">
        <w:rPr>
          <w:rFonts w:cstheme="minorHAnsi"/>
        </w:rPr>
        <w:t xml:space="preserve"> (</w:t>
      </w:r>
      <w:r w:rsidRPr="00ED0D97">
        <w:rPr>
          <w:rFonts w:cstheme="minorHAnsi"/>
        </w:rPr>
        <w:t xml:space="preserve">Приложение 1 </w:t>
      </w:r>
      <w:r w:rsidR="00F5409A">
        <w:rPr>
          <w:rFonts w:cstheme="minorHAnsi"/>
        </w:rPr>
        <w:t>).</w:t>
      </w:r>
      <w:bookmarkStart w:id="1" w:name="_Hlk171098724"/>
    </w:p>
    <w:p w14:paraId="67EBE12A" w14:textId="0047A801" w:rsidR="0068751B" w:rsidRPr="00911CDA" w:rsidRDefault="00ED0D97" w:rsidP="00911CDA">
      <w:pPr>
        <w:rPr>
          <w:rFonts w:cstheme="minorHAnsi"/>
        </w:rPr>
      </w:pPr>
      <w:r w:rsidRPr="00ED0D97">
        <w:rPr>
          <w:rFonts w:cstheme="minorHAnsi"/>
          <w:color w:val="000000" w:themeColor="text1"/>
        </w:rPr>
        <w:t>2</w:t>
      </w:r>
      <w:r>
        <w:rPr>
          <w:rFonts w:cstheme="minorHAnsi"/>
          <w:color w:val="000000" w:themeColor="text1"/>
        </w:rPr>
        <w:t xml:space="preserve">.  </w:t>
      </w:r>
      <w:r w:rsidR="0068751B" w:rsidRPr="00ED0D97">
        <w:rPr>
          <w:rFonts w:cstheme="minorHAnsi"/>
          <w:color w:val="000000" w:themeColor="text1"/>
        </w:rPr>
        <w:t>Отчет по членски</w:t>
      </w:r>
      <w:r w:rsidR="00F5409A">
        <w:rPr>
          <w:rFonts w:cstheme="minorHAnsi"/>
          <w:color w:val="000000" w:themeColor="text1"/>
        </w:rPr>
        <w:t>м</w:t>
      </w:r>
      <w:r w:rsidR="0068751B" w:rsidRPr="00ED0D97">
        <w:rPr>
          <w:rFonts w:cstheme="minorHAnsi"/>
          <w:color w:val="000000" w:themeColor="text1"/>
        </w:rPr>
        <w:t xml:space="preserve"> взнос</w:t>
      </w:r>
      <w:r w:rsidR="00F5409A">
        <w:rPr>
          <w:rFonts w:cstheme="minorHAnsi"/>
          <w:color w:val="000000" w:themeColor="text1"/>
        </w:rPr>
        <w:t>ам</w:t>
      </w:r>
      <w:r w:rsidR="0068751B" w:rsidRPr="00ED0D97">
        <w:rPr>
          <w:rFonts w:cstheme="minorHAnsi"/>
          <w:color w:val="000000" w:themeColor="text1"/>
        </w:rPr>
        <w:t xml:space="preserve"> за период с 01.06.2024 по 31.05.2025 г.</w:t>
      </w:r>
      <w:r w:rsidR="00A71223" w:rsidRPr="00ED0D97">
        <w:rPr>
          <w:rFonts w:cstheme="minorHAnsi"/>
          <w:color w:val="000000" w:themeColor="text1"/>
        </w:rPr>
        <w:t xml:space="preserve"> </w:t>
      </w:r>
    </w:p>
    <w:tbl>
      <w:tblPr>
        <w:tblW w:w="9166" w:type="dxa"/>
        <w:tblLook w:val="04A0" w:firstRow="1" w:lastRow="0" w:firstColumn="1" w:lastColumn="0" w:noHBand="0" w:noVBand="1"/>
      </w:tblPr>
      <w:tblGrid>
        <w:gridCol w:w="7318"/>
        <w:gridCol w:w="1848"/>
      </w:tblGrid>
      <w:tr w:rsidR="00776B94" w:rsidRPr="008D1BB4" w14:paraId="5A06BE3D" w14:textId="77777777" w:rsidTr="004C32D0">
        <w:trPr>
          <w:trHeight w:val="690"/>
        </w:trPr>
        <w:tc>
          <w:tcPr>
            <w:tcW w:w="73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14:paraId="28BB0937" w14:textId="77777777" w:rsidR="00776B94" w:rsidRPr="008D1BB4" w:rsidRDefault="00776B94" w:rsidP="00AB0F97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8D1BB4">
              <w:rPr>
                <w:rFonts w:ascii="Arial" w:hAnsi="Arial" w:cs="Arial"/>
                <w:b/>
                <w:bCs/>
                <w:color w:val="FFFFFF"/>
              </w:rPr>
              <w:t xml:space="preserve">                     СТАТЬЯ / ПЕРИОД</w:t>
            </w:r>
          </w:p>
        </w:tc>
        <w:tc>
          <w:tcPr>
            <w:tcW w:w="18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bottom"/>
            <w:hideMark/>
          </w:tcPr>
          <w:p w14:paraId="2A5D5807" w14:textId="77777777" w:rsidR="00776B94" w:rsidRPr="008D1BB4" w:rsidRDefault="00776B94" w:rsidP="00AB0F97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8D1BB4">
              <w:rPr>
                <w:rFonts w:ascii="Arial" w:hAnsi="Arial" w:cs="Arial"/>
                <w:b/>
                <w:bCs/>
                <w:color w:val="FFFFFF"/>
              </w:rPr>
              <w:t>ИТОГО                                 (с 01.06.24 по 31.05.25)</w:t>
            </w:r>
          </w:p>
        </w:tc>
      </w:tr>
      <w:tr w:rsidR="00776B94" w:rsidRPr="008D1BB4" w14:paraId="51EFBC87" w14:textId="77777777" w:rsidTr="004C32D0">
        <w:trPr>
          <w:trHeight w:val="262"/>
        </w:trPr>
        <w:tc>
          <w:tcPr>
            <w:tcW w:w="7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bottom"/>
            <w:hideMark/>
          </w:tcPr>
          <w:p w14:paraId="4FBCFEC1" w14:textId="77777777" w:rsidR="00776B94" w:rsidRPr="008D1BB4" w:rsidRDefault="00776B94" w:rsidP="00AB0F97">
            <w:pPr>
              <w:rPr>
                <w:rFonts w:ascii="Arial" w:hAnsi="Arial" w:cs="Arial"/>
                <w:b/>
                <w:bCs/>
              </w:rPr>
            </w:pPr>
            <w:r w:rsidRPr="008D1BB4">
              <w:rPr>
                <w:rFonts w:ascii="Arial" w:hAnsi="Arial" w:cs="Arial"/>
                <w:b/>
                <w:bCs/>
              </w:rPr>
              <w:t>ВХОДЯЩИЙ ОСТАТОК НА Р/С на 01.06.2024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bottom"/>
            <w:hideMark/>
          </w:tcPr>
          <w:p w14:paraId="20860EBA" w14:textId="77777777" w:rsidR="00776B94" w:rsidRPr="008D1BB4" w:rsidRDefault="00776B94" w:rsidP="00AB0F97">
            <w:pPr>
              <w:jc w:val="center"/>
              <w:rPr>
                <w:rFonts w:ascii="Arial" w:hAnsi="Arial" w:cs="Arial"/>
                <w:b/>
                <w:bCs/>
              </w:rPr>
            </w:pPr>
            <w:r w:rsidRPr="008D1BB4">
              <w:rPr>
                <w:rFonts w:ascii="Arial" w:hAnsi="Arial" w:cs="Arial"/>
                <w:b/>
                <w:bCs/>
              </w:rPr>
              <w:t xml:space="preserve">866 526,87  </w:t>
            </w:r>
          </w:p>
        </w:tc>
      </w:tr>
      <w:tr w:rsidR="00776B94" w:rsidRPr="008D1BB4" w14:paraId="6A525DA0" w14:textId="77777777" w:rsidTr="004C32D0">
        <w:trPr>
          <w:trHeight w:val="262"/>
        </w:trPr>
        <w:tc>
          <w:tcPr>
            <w:tcW w:w="73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DD9C4"/>
            <w:noWrap/>
            <w:vAlign w:val="bottom"/>
            <w:hideMark/>
          </w:tcPr>
          <w:p w14:paraId="75206167" w14:textId="77777777" w:rsidR="00776B94" w:rsidRPr="008D1BB4" w:rsidRDefault="00776B94" w:rsidP="00AB0F97">
            <w:pPr>
              <w:rPr>
                <w:rFonts w:ascii="Arial" w:hAnsi="Arial" w:cs="Arial"/>
                <w:b/>
                <w:bCs/>
              </w:rPr>
            </w:pPr>
            <w:r w:rsidRPr="008D1BB4">
              <w:rPr>
                <w:rFonts w:ascii="Arial" w:hAnsi="Arial" w:cs="Arial"/>
                <w:b/>
                <w:bCs/>
              </w:rPr>
              <w:t>ПОСТУПЛЕНИЯ: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bottom"/>
            <w:hideMark/>
          </w:tcPr>
          <w:p w14:paraId="7645AEDD" w14:textId="77777777" w:rsidR="00776B94" w:rsidRPr="008D1BB4" w:rsidRDefault="00776B94" w:rsidP="00AB0F97">
            <w:pPr>
              <w:jc w:val="center"/>
              <w:rPr>
                <w:rFonts w:ascii="Arial" w:hAnsi="Arial" w:cs="Arial"/>
                <w:b/>
                <w:bCs/>
              </w:rPr>
            </w:pPr>
            <w:r w:rsidRPr="008D1BB4">
              <w:rPr>
                <w:rFonts w:ascii="Arial" w:hAnsi="Arial" w:cs="Arial"/>
                <w:b/>
                <w:bCs/>
              </w:rPr>
              <w:t>26 336 798,35</w:t>
            </w:r>
          </w:p>
        </w:tc>
      </w:tr>
      <w:tr w:rsidR="00776B94" w:rsidRPr="008D1BB4" w14:paraId="3B762CAC" w14:textId="77777777" w:rsidTr="004C32D0">
        <w:trPr>
          <w:trHeight w:val="262"/>
        </w:trPr>
        <w:tc>
          <w:tcPr>
            <w:tcW w:w="73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14:paraId="74DEC160" w14:textId="77777777" w:rsidR="00776B94" w:rsidRPr="008D1BB4" w:rsidRDefault="00776B94" w:rsidP="00AB0F97">
            <w:pPr>
              <w:rPr>
                <w:rFonts w:ascii="Arial" w:hAnsi="Arial" w:cs="Arial"/>
                <w:b/>
                <w:bCs/>
              </w:rPr>
            </w:pPr>
            <w:r w:rsidRPr="008D1BB4">
              <w:rPr>
                <w:rFonts w:ascii="Arial" w:hAnsi="Arial" w:cs="Arial"/>
                <w:b/>
                <w:bCs/>
              </w:rPr>
              <w:t>1) членские взносы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bottom"/>
            <w:hideMark/>
          </w:tcPr>
          <w:p w14:paraId="20AD828D" w14:textId="77777777" w:rsidR="00776B94" w:rsidRPr="008D1BB4" w:rsidRDefault="00776B94" w:rsidP="00AB0F97">
            <w:pPr>
              <w:jc w:val="center"/>
              <w:rPr>
                <w:rFonts w:ascii="Arial" w:hAnsi="Arial" w:cs="Arial"/>
                <w:b/>
                <w:bCs/>
              </w:rPr>
            </w:pPr>
            <w:r w:rsidRPr="008D1BB4">
              <w:rPr>
                <w:rFonts w:ascii="Arial" w:hAnsi="Arial" w:cs="Arial"/>
                <w:b/>
                <w:bCs/>
              </w:rPr>
              <w:t xml:space="preserve">13 875 611,00  </w:t>
            </w:r>
          </w:p>
        </w:tc>
      </w:tr>
      <w:tr w:rsidR="00776B94" w:rsidRPr="008D1BB4" w14:paraId="63BDAE33" w14:textId="77777777" w:rsidTr="004C32D0">
        <w:trPr>
          <w:trHeight w:val="262"/>
        </w:trPr>
        <w:tc>
          <w:tcPr>
            <w:tcW w:w="73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14:paraId="3F9C86F8" w14:textId="77777777" w:rsidR="00776B94" w:rsidRPr="008D1BB4" w:rsidRDefault="00776B94" w:rsidP="00AB0F97">
            <w:pPr>
              <w:rPr>
                <w:rFonts w:ascii="Arial" w:hAnsi="Arial" w:cs="Arial"/>
              </w:rPr>
            </w:pPr>
            <w:r w:rsidRPr="008D1BB4">
              <w:rPr>
                <w:rFonts w:ascii="Arial" w:hAnsi="Arial" w:cs="Arial"/>
              </w:rPr>
              <w:t xml:space="preserve">    * в том числе пени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bottom"/>
            <w:hideMark/>
          </w:tcPr>
          <w:p w14:paraId="72F2B2AE" w14:textId="77777777" w:rsidR="00776B94" w:rsidRPr="008D1BB4" w:rsidRDefault="00776B94" w:rsidP="00AB0F97">
            <w:pPr>
              <w:jc w:val="center"/>
              <w:rPr>
                <w:rFonts w:ascii="Arial" w:hAnsi="Arial" w:cs="Arial"/>
              </w:rPr>
            </w:pPr>
            <w:r w:rsidRPr="008D1BB4">
              <w:rPr>
                <w:rFonts w:ascii="Arial" w:hAnsi="Arial" w:cs="Arial"/>
              </w:rPr>
              <w:t xml:space="preserve">31 354,00  </w:t>
            </w:r>
          </w:p>
        </w:tc>
      </w:tr>
      <w:tr w:rsidR="00776B94" w:rsidRPr="008D1BB4" w14:paraId="7DB725A8" w14:textId="77777777" w:rsidTr="004C32D0">
        <w:trPr>
          <w:trHeight w:val="262"/>
        </w:trPr>
        <w:tc>
          <w:tcPr>
            <w:tcW w:w="73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14:paraId="7ED0D76E" w14:textId="77777777" w:rsidR="00776B94" w:rsidRPr="008D1BB4" w:rsidRDefault="00776B94" w:rsidP="00AB0F97">
            <w:pPr>
              <w:rPr>
                <w:rFonts w:ascii="Arial" w:hAnsi="Arial" w:cs="Arial"/>
                <w:b/>
                <w:bCs/>
              </w:rPr>
            </w:pPr>
            <w:r w:rsidRPr="008D1BB4">
              <w:rPr>
                <w:rFonts w:ascii="Arial" w:hAnsi="Arial" w:cs="Arial"/>
                <w:b/>
                <w:bCs/>
              </w:rPr>
              <w:t>2) целевые взносы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bottom"/>
            <w:hideMark/>
          </w:tcPr>
          <w:p w14:paraId="2CE58F4C" w14:textId="77777777" w:rsidR="00776B94" w:rsidRPr="008D1BB4" w:rsidRDefault="00776B94" w:rsidP="00AB0F97">
            <w:pPr>
              <w:jc w:val="center"/>
              <w:rPr>
                <w:rFonts w:ascii="Arial" w:hAnsi="Arial" w:cs="Arial"/>
                <w:b/>
                <w:bCs/>
              </w:rPr>
            </w:pPr>
            <w:r w:rsidRPr="008D1BB4">
              <w:rPr>
                <w:rFonts w:ascii="Arial" w:hAnsi="Arial" w:cs="Arial"/>
                <w:b/>
                <w:bCs/>
              </w:rPr>
              <w:t xml:space="preserve">11 866 579,00  </w:t>
            </w:r>
          </w:p>
        </w:tc>
      </w:tr>
      <w:tr w:rsidR="00776B94" w:rsidRPr="008D1BB4" w14:paraId="607CA876" w14:textId="77777777" w:rsidTr="004C32D0">
        <w:trPr>
          <w:trHeight w:val="262"/>
        </w:trPr>
        <w:tc>
          <w:tcPr>
            <w:tcW w:w="73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14:paraId="762C9012" w14:textId="77777777" w:rsidR="00776B94" w:rsidRPr="008D1BB4" w:rsidRDefault="00776B94" w:rsidP="00AB0F97">
            <w:pPr>
              <w:rPr>
                <w:rFonts w:ascii="Arial" w:hAnsi="Arial" w:cs="Arial"/>
              </w:rPr>
            </w:pPr>
            <w:r w:rsidRPr="008D1BB4">
              <w:rPr>
                <w:rFonts w:ascii="Arial" w:hAnsi="Arial" w:cs="Arial"/>
              </w:rPr>
              <w:t xml:space="preserve">    * в том числе пени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bottom"/>
            <w:hideMark/>
          </w:tcPr>
          <w:p w14:paraId="269FEE10" w14:textId="77777777" w:rsidR="00776B94" w:rsidRPr="008D1BB4" w:rsidRDefault="00776B94" w:rsidP="00AB0F97">
            <w:pPr>
              <w:jc w:val="center"/>
              <w:rPr>
                <w:rFonts w:ascii="Arial" w:hAnsi="Arial" w:cs="Arial"/>
              </w:rPr>
            </w:pPr>
            <w:r w:rsidRPr="008D1BB4">
              <w:rPr>
                <w:rFonts w:ascii="Arial" w:hAnsi="Arial" w:cs="Arial"/>
              </w:rPr>
              <w:t xml:space="preserve">62 890,00  </w:t>
            </w:r>
          </w:p>
        </w:tc>
      </w:tr>
      <w:tr w:rsidR="00776B94" w:rsidRPr="008D1BB4" w14:paraId="6EB51C2C" w14:textId="77777777" w:rsidTr="004C32D0">
        <w:trPr>
          <w:trHeight w:val="457"/>
        </w:trPr>
        <w:tc>
          <w:tcPr>
            <w:tcW w:w="73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2957B01A" w14:textId="77777777" w:rsidR="00776B94" w:rsidRPr="008D1BB4" w:rsidRDefault="00776B94" w:rsidP="00AB0F97">
            <w:pPr>
              <w:rPr>
                <w:rFonts w:ascii="Arial" w:hAnsi="Arial" w:cs="Arial"/>
                <w:b/>
                <w:bCs/>
              </w:rPr>
            </w:pPr>
            <w:r w:rsidRPr="008D1BB4">
              <w:rPr>
                <w:rFonts w:ascii="Arial" w:hAnsi="Arial" w:cs="Arial"/>
                <w:b/>
                <w:bCs/>
              </w:rPr>
              <w:lastRenderedPageBreak/>
              <w:t xml:space="preserve">* компенсация за э/энергию собственниками, не имеющих прямых договоров с </w:t>
            </w:r>
            <w:proofErr w:type="spellStart"/>
            <w:r w:rsidRPr="008D1BB4">
              <w:rPr>
                <w:rFonts w:ascii="Arial" w:hAnsi="Arial" w:cs="Arial"/>
                <w:b/>
                <w:bCs/>
              </w:rPr>
              <w:t>Мосэнергосбыт</w:t>
            </w:r>
            <w:proofErr w:type="spellEnd"/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bottom"/>
            <w:hideMark/>
          </w:tcPr>
          <w:p w14:paraId="240BAB3E" w14:textId="77777777" w:rsidR="00776B94" w:rsidRPr="008D1BB4" w:rsidRDefault="00776B94" w:rsidP="00AB0F97">
            <w:pPr>
              <w:jc w:val="center"/>
              <w:rPr>
                <w:rFonts w:ascii="Arial" w:hAnsi="Arial" w:cs="Arial"/>
                <w:b/>
                <w:bCs/>
              </w:rPr>
            </w:pPr>
            <w:r w:rsidRPr="008D1BB4">
              <w:rPr>
                <w:rFonts w:ascii="Arial" w:hAnsi="Arial" w:cs="Arial"/>
                <w:b/>
                <w:bCs/>
              </w:rPr>
              <w:t xml:space="preserve">250 578,00  </w:t>
            </w:r>
          </w:p>
        </w:tc>
      </w:tr>
      <w:tr w:rsidR="00776B94" w:rsidRPr="008D1BB4" w14:paraId="411A3A3E" w14:textId="77777777" w:rsidTr="004C32D0">
        <w:trPr>
          <w:trHeight w:val="262"/>
        </w:trPr>
        <w:tc>
          <w:tcPr>
            <w:tcW w:w="73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3506BC18" w14:textId="77777777" w:rsidR="00776B94" w:rsidRPr="008D1BB4" w:rsidRDefault="00776B94" w:rsidP="00AB0F97">
            <w:pPr>
              <w:rPr>
                <w:rFonts w:ascii="Arial" w:hAnsi="Arial" w:cs="Arial"/>
                <w:b/>
                <w:bCs/>
              </w:rPr>
            </w:pPr>
            <w:r w:rsidRPr="008D1BB4">
              <w:rPr>
                <w:rFonts w:ascii="Arial" w:hAnsi="Arial" w:cs="Arial"/>
                <w:b/>
                <w:bCs/>
              </w:rPr>
              <w:t>* возврат от поставщиков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bottom"/>
            <w:hideMark/>
          </w:tcPr>
          <w:p w14:paraId="5E6AC526" w14:textId="77777777" w:rsidR="00776B94" w:rsidRPr="008D1BB4" w:rsidRDefault="00776B94" w:rsidP="00AB0F97">
            <w:pPr>
              <w:jc w:val="center"/>
              <w:rPr>
                <w:rFonts w:ascii="Arial" w:hAnsi="Arial" w:cs="Arial"/>
                <w:b/>
                <w:bCs/>
              </w:rPr>
            </w:pPr>
            <w:r w:rsidRPr="008D1BB4">
              <w:rPr>
                <w:rFonts w:ascii="Arial" w:hAnsi="Arial" w:cs="Arial"/>
                <w:b/>
                <w:bCs/>
              </w:rPr>
              <w:t xml:space="preserve">9 496,00  </w:t>
            </w:r>
          </w:p>
        </w:tc>
      </w:tr>
      <w:tr w:rsidR="00776B94" w:rsidRPr="008D1BB4" w14:paraId="70CF72EA" w14:textId="77777777" w:rsidTr="004C32D0">
        <w:trPr>
          <w:trHeight w:val="262"/>
        </w:trPr>
        <w:tc>
          <w:tcPr>
            <w:tcW w:w="73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D9C4"/>
            <w:noWrap/>
            <w:vAlign w:val="bottom"/>
            <w:hideMark/>
          </w:tcPr>
          <w:p w14:paraId="26392488" w14:textId="77777777" w:rsidR="00776B94" w:rsidRPr="008D1BB4" w:rsidRDefault="00776B94" w:rsidP="00AB0F97">
            <w:pPr>
              <w:rPr>
                <w:rFonts w:ascii="Arial" w:hAnsi="Arial" w:cs="Arial"/>
                <w:b/>
                <w:bCs/>
              </w:rPr>
            </w:pPr>
            <w:r w:rsidRPr="008D1BB4">
              <w:rPr>
                <w:rFonts w:ascii="Arial" w:hAnsi="Arial" w:cs="Arial"/>
                <w:b/>
                <w:bCs/>
              </w:rPr>
              <w:t xml:space="preserve">* взыскание по </w:t>
            </w:r>
            <w:proofErr w:type="spellStart"/>
            <w:r w:rsidRPr="008D1BB4">
              <w:rPr>
                <w:rFonts w:ascii="Arial" w:hAnsi="Arial" w:cs="Arial"/>
                <w:b/>
                <w:bCs/>
              </w:rPr>
              <w:t>исп.пр</w:t>
            </w:r>
            <w:proofErr w:type="spellEnd"/>
            <w:r w:rsidRPr="008D1BB4">
              <w:rPr>
                <w:rFonts w:ascii="Arial" w:hAnsi="Arial" w:cs="Arial"/>
                <w:b/>
                <w:bCs/>
              </w:rPr>
              <w:t>. с 102 уч.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bottom"/>
            <w:hideMark/>
          </w:tcPr>
          <w:p w14:paraId="793B3E3C" w14:textId="77777777" w:rsidR="00776B94" w:rsidRPr="008D1BB4" w:rsidRDefault="00776B94" w:rsidP="00AB0F97">
            <w:pPr>
              <w:jc w:val="center"/>
              <w:rPr>
                <w:rFonts w:ascii="Arial" w:hAnsi="Arial" w:cs="Arial"/>
                <w:b/>
                <w:bCs/>
              </w:rPr>
            </w:pPr>
            <w:r w:rsidRPr="008D1BB4">
              <w:rPr>
                <w:rFonts w:ascii="Arial" w:hAnsi="Arial" w:cs="Arial"/>
                <w:b/>
                <w:bCs/>
              </w:rPr>
              <w:t xml:space="preserve">40 000,00  </w:t>
            </w:r>
          </w:p>
        </w:tc>
      </w:tr>
      <w:tr w:rsidR="00776B94" w:rsidRPr="008D1BB4" w14:paraId="73ACAB21" w14:textId="77777777" w:rsidTr="004C32D0">
        <w:trPr>
          <w:trHeight w:val="262"/>
        </w:trPr>
        <w:tc>
          <w:tcPr>
            <w:tcW w:w="73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D9C4"/>
            <w:noWrap/>
            <w:vAlign w:val="bottom"/>
            <w:hideMark/>
          </w:tcPr>
          <w:p w14:paraId="6178633B" w14:textId="77777777" w:rsidR="00776B94" w:rsidRPr="008D1BB4" w:rsidRDefault="00776B94" w:rsidP="00AB0F97">
            <w:pPr>
              <w:rPr>
                <w:rFonts w:ascii="Arial" w:hAnsi="Arial" w:cs="Arial"/>
                <w:b/>
                <w:bCs/>
              </w:rPr>
            </w:pPr>
            <w:r w:rsidRPr="008D1BB4">
              <w:rPr>
                <w:rFonts w:ascii="Arial" w:hAnsi="Arial" w:cs="Arial"/>
                <w:b/>
                <w:bCs/>
              </w:rPr>
              <w:t>* благотворительный взнос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bottom"/>
            <w:hideMark/>
          </w:tcPr>
          <w:p w14:paraId="6283C1BF" w14:textId="77777777" w:rsidR="00776B94" w:rsidRPr="008D1BB4" w:rsidRDefault="00776B94" w:rsidP="00AB0F97">
            <w:pPr>
              <w:jc w:val="center"/>
              <w:rPr>
                <w:rFonts w:ascii="Arial" w:hAnsi="Arial" w:cs="Arial"/>
                <w:b/>
                <w:bCs/>
              </w:rPr>
            </w:pPr>
            <w:r w:rsidRPr="008D1BB4">
              <w:rPr>
                <w:rFonts w:ascii="Arial" w:hAnsi="Arial" w:cs="Arial"/>
                <w:b/>
                <w:bCs/>
              </w:rPr>
              <w:t xml:space="preserve">53 952,00  </w:t>
            </w:r>
          </w:p>
        </w:tc>
      </w:tr>
      <w:tr w:rsidR="00776B94" w:rsidRPr="008D1BB4" w14:paraId="0FE5C32E" w14:textId="77777777" w:rsidTr="004C32D0">
        <w:trPr>
          <w:trHeight w:val="457"/>
        </w:trPr>
        <w:tc>
          <w:tcPr>
            <w:tcW w:w="7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422DFCA9" w14:textId="77777777" w:rsidR="00776B94" w:rsidRPr="008D1BB4" w:rsidRDefault="00776B94" w:rsidP="00AB0F97">
            <w:pPr>
              <w:rPr>
                <w:rFonts w:ascii="Arial" w:hAnsi="Arial" w:cs="Arial"/>
                <w:b/>
                <w:bCs/>
              </w:rPr>
            </w:pPr>
            <w:r w:rsidRPr="008D1BB4">
              <w:rPr>
                <w:rFonts w:ascii="Arial" w:hAnsi="Arial" w:cs="Arial"/>
                <w:b/>
                <w:bCs/>
              </w:rPr>
              <w:t>* проценты за неснижаемый остаток денежных средств в банке на р/</w:t>
            </w:r>
            <w:proofErr w:type="spellStart"/>
            <w:r w:rsidRPr="008D1BB4">
              <w:rPr>
                <w:rFonts w:ascii="Arial" w:hAnsi="Arial" w:cs="Arial"/>
                <w:b/>
                <w:bCs/>
              </w:rPr>
              <w:t>сч</w:t>
            </w:r>
            <w:proofErr w:type="spellEnd"/>
            <w:r w:rsidRPr="008D1BB4">
              <w:rPr>
                <w:rFonts w:ascii="Arial" w:hAnsi="Arial" w:cs="Arial"/>
                <w:b/>
                <w:bCs/>
              </w:rPr>
              <w:t xml:space="preserve"> ТСН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bottom"/>
            <w:hideMark/>
          </w:tcPr>
          <w:p w14:paraId="7942B9FB" w14:textId="77777777" w:rsidR="00776B94" w:rsidRPr="008D1BB4" w:rsidRDefault="00776B94" w:rsidP="00AB0F97">
            <w:pPr>
              <w:jc w:val="center"/>
              <w:rPr>
                <w:rFonts w:ascii="Arial" w:hAnsi="Arial" w:cs="Arial"/>
                <w:b/>
                <w:bCs/>
              </w:rPr>
            </w:pPr>
            <w:r w:rsidRPr="008D1BB4">
              <w:rPr>
                <w:rFonts w:ascii="Arial" w:hAnsi="Arial" w:cs="Arial"/>
                <w:b/>
                <w:bCs/>
              </w:rPr>
              <w:t xml:space="preserve">240 582,35  </w:t>
            </w:r>
          </w:p>
        </w:tc>
      </w:tr>
      <w:tr w:rsidR="00776B94" w:rsidRPr="008D1BB4" w14:paraId="201D1686" w14:textId="77777777" w:rsidTr="004C32D0">
        <w:trPr>
          <w:trHeight w:val="262"/>
        </w:trPr>
        <w:tc>
          <w:tcPr>
            <w:tcW w:w="7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bottom"/>
            <w:hideMark/>
          </w:tcPr>
          <w:p w14:paraId="7C7D6BE3" w14:textId="77777777" w:rsidR="00776B94" w:rsidRPr="008D1BB4" w:rsidRDefault="00776B94" w:rsidP="00AB0F97">
            <w:pPr>
              <w:rPr>
                <w:rFonts w:ascii="Arial" w:hAnsi="Arial" w:cs="Arial"/>
                <w:b/>
                <w:bCs/>
              </w:rPr>
            </w:pPr>
            <w:r w:rsidRPr="008D1BB4">
              <w:rPr>
                <w:rFonts w:ascii="Arial" w:hAnsi="Arial" w:cs="Arial"/>
                <w:b/>
                <w:bCs/>
              </w:rPr>
              <w:t>ЗАТРАТЫ: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bottom"/>
            <w:hideMark/>
          </w:tcPr>
          <w:p w14:paraId="72A0DBCC" w14:textId="77777777" w:rsidR="00776B94" w:rsidRPr="008D1BB4" w:rsidRDefault="00776B94" w:rsidP="00AB0F97">
            <w:pPr>
              <w:jc w:val="center"/>
              <w:rPr>
                <w:rFonts w:ascii="Arial" w:hAnsi="Arial" w:cs="Arial"/>
                <w:b/>
                <w:bCs/>
              </w:rPr>
            </w:pPr>
            <w:r w:rsidRPr="008D1BB4">
              <w:rPr>
                <w:rFonts w:ascii="Arial" w:hAnsi="Arial" w:cs="Arial"/>
                <w:b/>
                <w:bCs/>
              </w:rPr>
              <w:t xml:space="preserve">24 387 711,79  </w:t>
            </w:r>
          </w:p>
        </w:tc>
      </w:tr>
      <w:tr w:rsidR="00776B94" w:rsidRPr="008D1BB4" w14:paraId="010EAEDC" w14:textId="77777777" w:rsidTr="004C32D0">
        <w:trPr>
          <w:trHeight w:val="262"/>
        </w:trPr>
        <w:tc>
          <w:tcPr>
            <w:tcW w:w="73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DD9C4"/>
            <w:noWrap/>
            <w:vAlign w:val="bottom"/>
            <w:hideMark/>
          </w:tcPr>
          <w:p w14:paraId="16F5DE6F" w14:textId="77777777" w:rsidR="00776B94" w:rsidRPr="008D1BB4" w:rsidRDefault="00776B94" w:rsidP="00AB0F97">
            <w:pPr>
              <w:rPr>
                <w:rFonts w:ascii="Arial" w:hAnsi="Arial" w:cs="Arial"/>
                <w:b/>
                <w:bCs/>
              </w:rPr>
            </w:pPr>
            <w:r w:rsidRPr="008D1BB4">
              <w:rPr>
                <w:rFonts w:ascii="Arial" w:hAnsi="Arial" w:cs="Arial"/>
                <w:b/>
                <w:bCs/>
              </w:rPr>
              <w:t xml:space="preserve">1) затраты по членским взносам,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bottom"/>
            <w:hideMark/>
          </w:tcPr>
          <w:p w14:paraId="7163144C" w14:textId="77777777" w:rsidR="00776B94" w:rsidRPr="008D1BB4" w:rsidRDefault="00776B94" w:rsidP="00AB0F97">
            <w:pPr>
              <w:jc w:val="center"/>
              <w:rPr>
                <w:rFonts w:ascii="Arial" w:hAnsi="Arial" w:cs="Arial"/>
                <w:b/>
                <w:bCs/>
              </w:rPr>
            </w:pPr>
            <w:r w:rsidRPr="008D1BB4">
              <w:rPr>
                <w:rFonts w:ascii="Arial" w:hAnsi="Arial" w:cs="Arial"/>
                <w:b/>
                <w:bCs/>
              </w:rPr>
              <w:t xml:space="preserve">14 046 463,70  </w:t>
            </w:r>
          </w:p>
        </w:tc>
      </w:tr>
      <w:tr w:rsidR="00776B94" w:rsidRPr="008D1BB4" w14:paraId="034CEB1E" w14:textId="77777777" w:rsidTr="004C32D0">
        <w:trPr>
          <w:trHeight w:val="262"/>
        </w:trPr>
        <w:tc>
          <w:tcPr>
            <w:tcW w:w="73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DD9C4"/>
            <w:noWrap/>
            <w:vAlign w:val="bottom"/>
            <w:hideMark/>
          </w:tcPr>
          <w:p w14:paraId="2B56DC27" w14:textId="77777777" w:rsidR="00776B94" w:rsidRPr="008D1BB4" w:rsidRDefault="00776B94" w:rsidP="00AB0F97">
            <w:pPr>
              <w:rPr>
                <w:rFonts w:ascii="Arial" w:hAnsi="Arial" w:cs="Arial"/>
              </w:rPr>
            </w:pPr>
            <w:r w:rsidRPr="008D1BB4">
              <w:rPr>
                <w:rFonts w:ascii="Arial" w:hAnsi="Arial" w:cs="Arial"/>
              </w:rPr>
              <w:t xml:space="preserve">      * в том числе оплата за электричество за собственников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bottom"/>
            <w:hideMark/>
          </w:tcPr>
          <w:p w14:paraId="3E48A0C8" w14:textId="77777777" w:rsidR="00776B94" w:rsidRPr="008D1BB4" w:rsidRDefault="00776B94" w:rsidP="00AB0F97">
            <w:pPr>
              <w:jc w:val="center"/>
              <w:rPr>
                <w:rFonts w:ascii="Arial" w:hAnsi="Arial" w:cs="Arial"/>
              </w:rPr>
            </w:pPr>
            <w:r w:rsidRPr="008D1BB4">
              <w:rPr>
                <w:rFonts w:ascii="Arial" w:hAnsi="Arial" w:cs="Arial"/>
              </w:rPr>
              <w:t xml:space="preserve">259 477,00  </w:t>
            </w:r>
          </w:p>
        </w:tc>
      </w:tr>
      <w:tr w:rsidR="00776B94" w:rsidRPr="008D1BB4" w14:paraId="0914A00F" w14:textId="77777777" w:rsidTr="004C32D0">
        <w:trPr>
          <w:trHeight w:val="262"/>
        </w:trPr>
        <w:tc>
          <w:tcPr>
            <w:tcW w:w="73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DD9C4"/>
            <w:noWrap/>
            <w:vAlign w:val="bottom"/>
            <w:hideMark/>
          </w:tcPr>
          <w:p w14:paraId="38E4A096" w14:textId="77777777" w:rsidR="00776B94" w:rsidRPr="008D1BB4" w:rsidRDefault="00776B94" w:rsidP="00AB0F97">
            <w:pPr>
              <w:rPr>
                <w:rFonts w:ascii="Arial" w:hAnsi="Arial" w:cs="Arial"/>
                <w:b/>
                <w:bCs/>
              </w:rPr>
            </w:pPr>
            <w:r w:rsidRPr="008D1BB4">
              <w:rPr>
                <w:rFonts w:ascii="Arial" w:hAnsi="Arial" w:cs="Arial"/>
                <w:b/>
                <w:bCs/>
              </w:rPr>
              <w:t>2) целевые затраты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bottom"/>
            <w:hideMark/>
          </w:tcPr>
          <w:p w14:paraId="35F1674C" w14:textId="77777777" w:rsidR="00776B94" w:rsidRPr="008D1BB4" w:rsidRDefault="00776B94" w:rsidP="00AB0F97">
            <w:pPr>
              <w:jc w:val="center"/>
              <w:rPr>
                <w:rFonts w:ascii="Arial" w:hAnsi="Arial" w:cs="Arial"/>
                <w:b/>
                <w:bCs/>
              </w:rPr>
            </w:pPr>
            <w:r w:rsidRPr="008D1BB4">
              <w:rPr>
                <w:rFonts w:ascii="Arial" w:hAnsi="Arial" w:cs="Arial"/>
                <w:b/>
                <w:bCs/>
              </w:rPr>
              <w:t xml:space="preserve">10 341 248,09  </w:t>
            </w:r>
          </w:p>
        </w:tc>
      </w:tr>
      <w:tr w:rsidR="00776B94" w:rsidRPr="008D1BB4" w14:paraId="70944735" w14:textId="77777777" w:rsidTr="004C32D0">
        <w:trPr>
          <w:trHeight w:val="262"/>
        </w:trPr>
        <w:tc>
          <w:tcPr>
            <w:tcW w:w="7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bottom"/>
            <w:hideMark/>
          </w:tcPr>
          <w:p w14:paraId="774D23EE" w14:textId="77777777" w:rsidR="00776B94" w:rsidRPr="008D1BB4" w:rsidRDefault="00776B94" w:rsidP="00AB0F97">
            <w:pPr>
              <w:rPr>
                <w:rFonts w:ascii="Arial" w:hAnsi="Arial" w:cs="Arial"/>
                <w:b/>
                <w:bCs/>
              </w:rPr>
            </w:pPr>
            <w:r w:rsidRPr="008D1BB4">
              <w:rPr>
                <w:rFonts w:ascii="Arial" w:hAnsi="Arial" w:cs="Arial"/>
                <w:b/>
                <w:bCs/>
              </w:rPr>
              <w:t>ОСТАТОК: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bottom"/>
            <w:hideMark/>
          </w:tcPr>
          <w:p w14:paraId="65686269" w14:textId="77777777" w:rsidR="00776B94" w:rsidRPr="008D1BB4" w:rsidRDefault="00776B94" w:rsidP="00AB0F97">
            <w:pPr>
              <w:jc w:val="center"/>
              <w:rPr>
                <w:rFonts w:ascii="Arial" w:hAnsi="Arial" w:cs="Arial"/>
                <w:b/>
                <w:bCs/>
              </w:rPr>
            </w:pPr>
            <w:r w:rsidRPr="008D1BB4">
              <w:rPr>
                <w:rFonts w:ascii="Arial" w:hAnsi="Arial" w:cs="Arial"/>
                <w:b/>
                <w:bCs/>
              </w:rPr>
              <w:t xml:space="preserve">2 815 613,43  </w:t>
            </w:r>
          </w:p>
        </w:tc>
      </w:tr>
      <w:tr w:rsidR="00776B94" w:rsidRPr="008D1BB4" w14:paraId="29AC2A62" w14:textId="77777777" w:rsidTr="004C32D0">
        <w:trPr>
          <w:trHeight w:val="252"/>
        </w:trPr>
        <w:tc>
          <w:tcPr>
            <w:tcW w:w="73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DD9C4"/>
            <w:vAlign w:val="bottom"/>
            <w:hideMark/>
          </w:tcPr>
          <w:p w14:paraId="037CC022" w14:textId="77777777" w:rsidR="00776B94" w:rsidRPr="008D1BB4" w:rsidRDefault="00776B94" w:rsidP="00AB0F97">
            <w:pPr>
              <w:jc w:val="right"/>
              <w:rPr>
                <w:rFonts w:ascii="Arial" w:hAnsi="Arial" w:cs="Arial"/>
              </w:rPr>
            </w:pPr>
            <w:r w:rsidRPr="008D1BB4">
              <w:rPr>
                <w:rFonts w:ascii="Arial" w:hAnsi="Arial" w:cs="Arial"/>
              </w:rPr>
              <w:t>в том числе ОСТАТОК НА Р/С НА КОНЕЦ МЕСЯЦА по членским взносам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D9C4"/>
            <w:noWrap/>
            <w:vAlign w:val="bottom"/>
            <w:hideMark/>
          </w:tcPr>
          <w:p w14:paraId="63E37FD6" w14:textId="77777777" w:rsidR="00776B94" w:rsidRPr="008D1BB4" w:rsidRDefault="00776B94" w:rsidP="00AB0F97">
            <w:pPr>
              <w:jc w:val="center"/>
              <w:rPr>
                <w:rFonts w:ascii="Arial" w:hAnsi="Arial" w:cs="Arial"/>
              </w:rPr>
            </w:pPr>
            <w:r w:rsidRPr="008D1BB4">
              <w:rPr>
                <w:rFonts w:ascii="Arial" w:hAnsi="Arial" w:cs="Arial"/>
              </w:rPr>
              <w:t xml:space="preserve">357 494,68  </w:t>
            </w:r>
          </w:p>
        </w:tc>
      </w:tr>
      <w:tr w:rsidR="00776B94" w:rsidRPr="008D1BB4" w14:paraId="5A5527BC" w14:textId="77777777" w:rsidTr="004C32D0">
        <w:trPr>
          <w:trHeight w:val="252"/>
        </w:trPr>
        <w:tc>
          <w:tcPr>
            <w:tcW w:w="73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D9C4"/>
            <w:vAlign w:val="bottom"/>
            <w:hideMark/>
          </w:tcPr>
          <w:p w14:paraId="4CE2ABD2" w14:textId="77777777" w:rsidR="00776B94" w:rsidRPr="008D1BB4" w:rsidRDefault="00776B94" w:rsidP="00AB0F97">
            <w:pPr>
              <w:jc w:val="right"/>
              <w:rPr>
                <w:rFonts w:ascii="Arial" w:hAnsi="Arial" w:cs="Arial"/>
              </w:rPr>
            </w:pPr>
            <w:r w:rsidRPr="008D1BB4">
              <w:rPr>
                <w:rFonts w:ascii="Arial" w:hAnsi="Arial" w:cs="Arial"/>
              </w:rPr>
              <w:t>в том числе ОСТАТОК НА Р/С НА КОНЕЦ МЕСЯЦА по целевым взносам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4"/>
            <w:noWrap/>
            <w:vAlign w:val="bottom"/>
            <w:hideMark/>
          </w:tcPr>
          <w:p w14:paraId="2EE6764D" w14:textId="77777777" w:rsidR="00776B94" w:rsidRPr="008D1BB4" w:rsidRDefault="00776B94" w:rsidP="00AB0F97">
            <w:pPr>
              <w:jc w:val="center"/>
              <w:rPr>
                <w:rFonts w:ascii="Arial" w:hAnsi="Arial" w:cs="Arial"/>
              </w:rPr>
            </w:pPr>
            <w:r w:rsidRPr="008D1BB4">
              <w:rPr>
                <w:rFonts w:ascii="Arial" w:hAnsi="Arial" w:cs="Arial"/>
              </w:rPr>
              <w:t xml:space="preserve">2 281 009,71  </w:t>
            </w:r>
          </w:p>
        </w:tc>
      </w:tr>
      <w:tr w:rsidR="00776B94" w:rsidRPr="008D1BB4" w14:paraId="37F4FE1A" w14:textId="77777777" w:rsidTr="004C32D0">
        <w:trPr>
          <w:trHeight w:val="268"/>
        </w:trPr>
        <w:tc>
          <w:tcPr>
            <w:tcW w:w="7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bottom"/>
            <w:hideMark/>
          </w:tcPr>
          <w:p w14:paraId="0FE2473E" w14:textId="77777777" w:rsidR="00776B94" w:rsidRPr="008D1BB4" w:rsidRDefault="00776B94" w:rsidP="00AB0F97">
            <w:pPr>
              <w:jc w:val="right"/>
              <w:rPr>
                <w:rFonts w:ascii="Arial" w:hAnsi="Arial" w:cs="Arial"/>
              </w:rPr>
            </w:pPr>
            <w:r w:rsidRPr="008D1BB4">
              <w:rPr>
                <w:rFonts w:ascii="Arial" w:hAnsi="Arial" w:cs="Arial"/>
              </w:rPr>
              <w:t>прочие поступления (взысканные средства + проценты за неснижаемый остаток)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bottom"/>
            <w:hideMark/>
          </w:tcPr>
          <w:p w14:paraId="76D3D73C" w14:textId="77777777" w:rsidR="00776B94" w:rsidRPr="008D1BB4" w:rsidRDefault="00776B94" w:rsidP="00AB0F97">
            <w:pPr>
              <w:jc w:val="center"/>
              <w:rPr>
                <w:rFonts w:ascii="Arial" w:hAnsi="Arial" w:cs="Arial"/>
              </w:rPr>
            </w:pPr>
            <w:r w:rsidRPr="008D1BB4">
              <w:rPr>
                <w:rFonts w:ascii="Arial" w:hAnsi="Arial" w:cs="Arial"/>
              </w:rPr>
              <w:t xml:space="preserve">177 109,04  </w:t>
            </w:r>
          </w:p>
        </w:tc>
      </w:tr>
    </w:tbl>
    <w:p w14:paraId="36994BAA" w14:textId="77777777" w:rsidR="00F5409A" w:rsidRDefault="004C32D0" w:rsidP="00A71223">
      <w:pPr>
        <w:rPr>
          <w:rFonts w:cstheme="minorHAnsi"/>
          <w:b/>
          <w:color w:val="000000" w:themeColor="text1"/>
        </w:rPr>
      </w:pPr>
      <w:r w:rsidRPr="004C32D0">
        <w:rPr>
          <w:noProof/>
          <w:lang w:eastAsia="ru-RU"/>
        </w:rPr>
        <w:drawing>
          <wp:inline distT="0" distB="0" distL="0" distR="0" wp14:anchorId="35DD48C6" wp14:editId="1251AB03">
            <wp:extent cx="5814088" cy="2834640"/>
            <wp:effectExtent l="0" t="0" r="0" b="381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822" cy="2838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4C81D" w14:textId="25C9C407" w:rsidR="00776B94" w:rsidRDefault="00FC6DB2" w:rsidP="00F5409A">
      <w:pPr>
        <w:rPr>
          <w:rFonts w:cstheme="minorHAnsi"/>
          <w:b/>
          <w:color w:val="000000" w:themeColor="text1"/>
        </w:rPr>
      </w:pPr>
      <w:r w:rsidRPr="00FC6DB2">
        <w:rPr>
          <w:noProof/>
          <w:lang w:eastAsia="ru-RU"/>
        </w:rPr>
        <w:drawing>
          <wp:inline distT="0" distB="0" distL="0" distR="0" wp14:anchorId="76F5C491" wp14:editId="6C01B886">
            <wp:extent cx="5817512" cy="1271328"/>
            <wp:effectExtent l="0" t="0" r="0" b="508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757" cy="127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FF37C" w14:textId="781C852E" w:rsidR="00776B94" w:rsidRDefault="00776B94" w:rsidP="00776B94">
      <w:pPr>
        <w:pStyle w:val="a3"/>
        <w:rPr>
          <w:rFonts w:cstheme="minorHAnsi"/>
          <w:b/>
          <w:color w:val="000000" w:themeColor="text1"/>
        </w:rPr>
      </w:pPr>
    </w:p>
    <w:p w14:paraId="1EB42C93" w14:textId="0F855B0C" w:rsidR="00FC6DB2" w:rsidRDefault="00FC6DB2" w:rsidP="00776B94">
      <w:pPr>
        <w:pStyle w:val="a3"/>
        <w:rPr>
          <w:rFonts w:cstheme="minorHAnsi"/>
          <w:b/>
          <w:color w:val="000000" w:themeColor="text1"/>
        </w:rPr>
      </w:pPr>
      <w:r w:rsidRPr="00FC6DB2">
        <w:rPr>
          <w:noProof/>
          <w:lang w:eastAsia="ru-RU"/>
        </w:rPr>
        <w:lastRenderedPageBreak/>
        <w:drawing>
          <wp:inline distT="0" distB="0" distL="0" distR="0" wp14:anchorId="164E81C8" wp14:editId="2FA3A8BD">
            <wp:extent cx="5940425" cy="8928535"/>
            <wp:effectExtent l="0" t="0" r="3175" b="635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2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0A8807" w14:textId="601165FC" w:rsidR="00FC6DB2" w:rsidRDefault="00FC6DB2" w:rsidP="00776B94">
      <w:pPr>
        <w:pStyle w:val="a3"/>
        <w:rPr>
          <w:rFonts w:cstheme="minorHAnsi"/>
          <w:b/>
          <w:color w:val="000000" w:themeColor="text1"/>
        </w:rPr>
      </w:pPr>
    </w:p>
    <w:p w14:paraId="16824E8A" w14:textId="370B588C" w:rsidR="00FC6DB2" w:rsidRDefault="00FC6DB2" w:rsidP="00776B94">
      <w:pPr>
        <w:pStyle w:val="a3"/>
        <w:rPr>
          <w:rFonts w:cstheme="minorHAnsi"/>
          <w:b/>
          <w:color w:val="000000" w:themeColor="text1"/>
        </w:rPr>
      </w:pPr>
    </w:p>
    <w:p w14:paraId="4950CAD3" w14:textId="01C7B5D3" w:rsidR="00FC6DB2" w:rsidRDefault="00FC6DB2" w:rsidP="00776B94">
      <w:pPr>
        <w:pStyle w:val="a3"/>
        <w:rPr>
          <w:rFonts w:cstheme="minorHAnsi"/>
          <w:b/>
          <w:color w:val="000000" w:themeColor="text1"/>
        </w:rPr>
      </w:pPr>
      <w:r w:rsidRPr="00FC6DB2">
        <w:rPr>
          <w:noProof/>
          <w:lang w:eastAsia="ru-RU"/>
        </w:rPr>
        <w:drawing>
          <wp:inline distT="0" distB="0" distL="0" distR="0" wp14:anchorId="7F417BA5" wp14:editId="0F0909CC">
            <wp:extent cx="5940425" cy="5075049"/>
            <wp:effectExtent l="0" t="0" r="317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075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2699D" w14:textId="162A6D90" w:rsidR="00FC6DB2" w:rsidRDefault="00FC6DB2" w:rsidP="00776B94">
      <w:pPr>
        <w:pStyle w:val="a3"/>
        <w:rPr>
          <w:rFonts w:cstheme="minorHAnsi"/>
          <w:b/>
          <w:color w:val="000000" w:themeColor="text1"/>
        </w:rPr>
      </w:pPr>
    </w:p>
    <w:p w14:paraId="24178811" w14:textId="446497E0" w:rsidR="00542C25" w:rsidRPr="00F5409A" w:rsidRDefault="00ED0D97" w:rsidP="00ED0D97">
      <w:pPr>
        <w:ind w:left="360"/>
        <w:rPr>
          <w:rFonts w:cstheme="minorHAnsi"/>
          <w:bCs/>
          <w:color w:val="000000" w:themeColor="text1"/>
          <w:sz w:val="24"/>
          <w:szCs w:val="24"/>
        </w:rPr>
      </w:pPr>
      <w:r w:rsidRPr="00F5409A">
        <w:rPr>
          <w:rFonts w:cstheme="minorHAnsi"/>
          <w:bCs/>
          <w:color w:val="000000" w:themeColor="text1"/>
        </w:rPr>
        <w:t xml:space="preserve">3. </w:t>
      </w:r>
      <w:r w:rsidR="005F13F4" w:rsidRPr="00F5409A">
        <w:rPr>
          <w:rFonts w:cstheme="minorHAnsi"/>
          <w:bCs/>
          <w:color w:val="000000" w:themeColor="text1"/>
        </w:rPr>
        <w:t>Отчет по целевым взносам за период с 01.0</w:t>
      </w:r>
      <w:r w:rsidR="00F5409A" w:rsidRPr="00F5409A">
        <w:rPr>
          <w:rFonts w:cstheme="minorHAnsi"/>
          <w:bCs/>
          <w:color w:val="000000" w:themeColor="text1"/>
        </w:rPr>
        <w:t>6.</w:t>
      </w:r>
      <w:r w:rsidR="005F13F4" w:rsidRPr="00F5409A">
        <w:rPr>
          <w:rFonts w:cstheme="minorHAnsi"/>
          <w:bCs/>
          <w:color w:val="000000" w:themeColor="text1"/>
        </w:rPr>
        <w:t>2024 по 31.05</w:t>
      </w:r>
      <w:r w:rsidR="00A71223" w:rsidRPr="00F5409A">
        <w:rPr>
          <w:rFonts w:cstheme="minorHAnsi"/>
          <w:bCs/>
          <w:color w:val="000000" w:themeColor="text1"/>
        </w:rPr>
        <w:t>.</w:t>
      </w:r>
      <w:r w:rsidR="005F13F4" w:rsidRPr="00F5409A">
        <w:rPr>
          <w:rFonts w:cstheme="minorHAnsi"/>
          <w:bCs/>
          <w:color w:val="000000" w:themeColor="text1"/>
        </w:rPr>
        <w:t>2025 г.</w:t>
      </w:r>
    </w:p>
    <w:p w14:paraId="6460DB81" w14:textId="77777777" w:rsidR="00542C25" w:rsidRPr="00542C25" w:rsidRDefault="00542C25" w:rsidP="00542C25">
      <w:pPr>
        <w:pStyle w:val="a3"/>
        <w:rPr>
          <w:rFonts w:cstheme="minorHAnsi"/>
          <w:b/>
          <w:color w:val="000000" w:themeColor="text1"/>
          <w:sz w:val="24"/>
          <w:szCs w:val="24"/>
        </w:rPr>
      </w:pPr>
      <w:r w:rsidRPr="00542C25">
        <w:rPr>
          <w:noProof/>
          <w:lang w:eastAsia="ru-RU"/>
        </w:rPr>
        <w:drawing>
          <wp:inline distT="0" distB="0" distL="0" distR="0" wp14:anchorId="3074B798" wp14:editId="01059C76">
            <wp:extent cx="5940425" cy="3237736"/>
            <wp:effectExtent l="0" t="0" r="3175" b="127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37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BADDB" w14:textId="35CBBEBB" w:rsidR="0068751B" w:rsidRPr="00FC6DB2" w:rsidRDefault="002D75AE" w:rsidP="00542C25">
      <w:pPr>
        <w:pStyle w:val="a3"/>
        <w:rPr>
          <w:rFonts w:cstheme="minorHAnsi"/>
          <w:b/>
          <w:color w:val="000000" w:themeColor="text1"/>
          <w:sz w:val="24"/>
          <w:szCs w:val="24"/>
        </w:rPr>
      </w:pPr>
      <w:r w:rsidRPr="002D75AE">
        <w:rPr>
          <w:noProof/>
          <w:sz w:val="24"/>
          <w:szCs w:val="24"/>
          <w:lang w:eastAsia="ru-RU"/>
        </w:rPr>
        <w:lastRenderedPageBreak/>
        <w:drawing>
          <wp:inline distT="0" distB="0" distL="0" distR="0" wp14:anchorId="75EE1991" wp14:editId="6F8EB6EA">
            <wp:extent cx="5816288" cy="3411994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361" cy="3421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8CC97" w14:textId="77777777" w:rsidR="0068751B" w:rsidRPr="0068751B" w:rsidRDefault="0068751B" w:rsidP="0068751B">
      <w:pPr>
        <w:rPr>
          <w:rFonts w:cstheme="minorHAnsi"/>
          <w:b/>
          <w:color w:val="000000" w:themeColor="text1"/>
        </w:rPr>
      </w:pPr>
    </w:p>
    <w:bookmarkEnd w:id="1"/>
    <w:p w14:paraId="0B55FF1A" w14:textId="7D216AF8" w:rsidR="004C74AF" w:rsidRDefault="00ED0D97" w:rsidP="00ED0D97">
      <w:pPr>
        <w:ind w:left="360"/>
      </w:pPr>
      <w:r>
        <w:t xml:space="preserve">     4. </w:t>
      </w:r>
      <w:r w:rsidR="0037380E" w:rsidRPr="003378D2">
        <w:t xml:space="preserve">Сумма задолженности собственников   перед ТСН по </w:t>
      </w:r>
      <w:r w:rsidR="0037380E">
        <w:t xml:space="preserve">членским взносам </w:t>
      </w:r>
      <w:r w:rsidR="0037380E" w:rsidRPr="003378D2">
        <w:t xml:space="preserve">  на </w:t>
      </w:r>
      <w:r w:rsidR="0037380E">
        <w:t>26.0</w:t>
      </w:r>
      <w:r w:rsidR="00F5409A">
        <w:t>6</w:t>
      </w:r>
      <w:r w:rsidR="0037380E">
        <w:t xml:space="preserve">.2025 </w:t>
      </w:r>
      <w:r w:rsidR="0037380E" w:rsidRPr="003378D2">
        <w:t xml:space="preserve"> г.</w:t>
      </w:r>
      <w:r w:rsidR="005B5BE0">
        <w:t xml:space="preserve"> (событие после отчетной даты)</w:t>
      </w:r>
      <w:r w:rsidR="0037380E" w:rsidRPr="003378D2">
        <w:t xml:space="preserve"> составила</w:t>
      </w:r>
      <w:r w:rsidR="0037380E">
        <w:t xml:space="preserve"> </w:t>
      </w:r>
      <w:r w:rsidR="0037380E" w:rsidRPr="0037380E">
        <w:t>816 238,69 рублей</w:t>
      </w:r>
      <w:r w:rsidR="00B35B66">
        <w:t>:</w:t>
      </w:r>
      <w:r w:rsidR="004C74AF">
        <w:t xml:space="preserve"> </w:t>
      </w:r>
      <w:r w:rsidR="003378D2">
        <w:t xml:space="preserve"> </w:t>
      </w:r>
      <w:r w:rsidR="00B35B66" w:rsidRPr="00B35B66">
        <w:rPr>
          <w:noProof/>
          <w:lang w:eastAsia="ru-RU"/>
        </w:rPr>
        <w:drawing>
          <wp:inline distT="0" distB="0" distL="0" distR="0" wp14:anchorId="10F35EB7" wp14:editId="7794202A">
            <wp:extent cx="5940425" cy="1904365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0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8A608" w14:textId="6F594DF0" w:rsidR="003378D2" w:rsidRDefault="003378D2" w:rsidP="003A4952">
      <w:pPr>
        <w:ind w:firstLine="708"/>
      </w:pPr>
      <w:r w:rsidRPr="003378D2">
        <w:t xml:space="preserve">Сумма задолженности собственников   перед ТСН по </w:t>
      </w:r>
      <w:r>
        <w:t xml:space="preserve">целевым взносам </w:t>
      </w:r>
      <w:r w:rsidRPr="003378D2">
        <w:t xml:space="preserve">  на </w:t>
      </w:r>
      <w:proofErr w:type="gramStart"/>
      <w:r w:rsidR="00564F56">
        <w:t>26.0</w:t>
      </w:r>
      <w:r w:rsidR="00F5409A">
        <w:t>6</w:t>
      </w:r>
      <w:r w:rsidR="00564F56">
        <w:t xml:space="preserve">.2025 </w:t>
      </w:r>
      <w:r w:rsidRPr="003378D2">
        <w:t xml:space="preserve"> г.</w:t>
      </w:r>
      <w:proofErr w:type="gramEnd"/>
      <w:r w:rsidRPr="003378D2">
        <w:t xml:space="preserve"> </w:t>
      </w:r>
      <w:r w:rsidR="005B5BE0">
        <w:t xml:space="preserve">(событие после отчетной даты) </w:t>
      </w:r>
      <w:r w:rsidRPr="003378D2">
        <w:t xml:space="preserve">составила   </w:t>
      </w:r>
      <w:r w:rsidR="00B35B66" w:rsidRPr="00B35B66">
        <w:t>1 543 453 рублей</w:t>
      </w:r>
      <w:r w:rsidR="00B35B66">
        <w:t>:</w:t>
      </w:r>
    </w:p>
    <w:p w14:paraId="5DB8E73A" w14:textId="75798370" w:rsidR="00B35B66" w:rsidRDefault="00B35B66" w:rsidP="003A4952">
      <w:pPr>
        <w:ind w:firstLine="708"/>
      </w:pPr>
      <w:r w:rsidRPr="00B35B66">
        <w:rPr>
          <w:noProof/>
          <w:lang w:eastAsia="ru-RU"/>
        </w:rPr>
        <w:drawing>
          <wp:inline distT="0" distB="0" distL="0" distR="0" wp14:anchorId="51B455B3" wp14:editId="02C7CA50">
            <wp:extent cx="5420616" cy="1862884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49729" cy="1872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8AD7B" w14:textId="77777777" w:rsidR="003378D2" w:rsidRDefault="003378D2" w:rsidP="003A4952">
      <w:pPr>
        <w:ind w:firstLine="708"/>
      </w:pPr>
    </w:p>
    <w:p w14:paraId="2C88522C" w14:textId="77777777" w:rsidR="003378D2" w:rsidRDefault="003378D2" w:rsidP="003A4952">
      <w:pPr>
        <w:ind w:firstLine="708"/>
      </w:pPr>
    </w:p>
    <w:p w14:paraId="0893C829" w14:textId="5E0BE817" w:rsidR="00BC3BF2" w:rsidRDefault="00911CDA" w:rsidP="00842864">
      <w:r>
        <w:lastRenderedPageBreak/>
        <w:t>5</w:t>
      </w:r>
      <w:r w:rsidR="00ED0D97">
        <w:t>.</w:t>
      </w:r>
      <w:r w:rsidR="00AA0580">
        <w:t xml:space="preserve"> </w:t>
      </w:r>
      <w:r w:rsidR="004C74AF">
        <w:t xml:space="preserve">Злостными неплательщиками взносов/ платы за содержание имущества общего пользования   являются   собственники участков </w:t>
      </w:r>
      <w:r w:rsidR="00813275">
        <w:t xml:space="preserve"> </w:t>
      </w:r>
      <w:r w:rsidR="004C74AF">
        <w:t xml:space="preserve"> 102, 219</w:t>
      </w:r>
      <w:r w:rsidR="00F5409A">
        <w:t xml:space="preserve"> </w:t>
      </w:r>
      <w:r w:rsidR="000454F9">
        <w:t>(правообладатели</w:t>
      </w:r>
      <w:r w:rsidR="00F5409A">
        <w:t>,</w:t>
      </w:r>
      <w:r w:rsidR="000454F9">
        <w:t xml:space="preserve"> не вступившие в члены ТСН СНТ)</w:t>
      </w:r>
      <w:r w:rsidR="004C74AF">
        <w:t>.</w:t>
      </w:r>
    </w:p>
    <w:p w14:paraId="338EE041" w14:textId="775A0EA5" w:rsidR="003378D2" w:rsidRDefault="003378D2" w:rsidP="00842864">
      <w:r>
        <w:t>В настоящее время по уч.102 подан иск на взыскание</w:t>
      </w:r>
      <w:r w:rsidR="00E01168">
        <w:t xml:space="preserve"> </w:t>
      </w:r>
      <w:r>
        <w:t>членских взносов в</w:t>
      </w:r>
      <w:r w:rsidR="00E01168">
        <w:t xml:space="preserve"> порядке искового производства</w:t>
      </w:r>
      <w:r w:rsidR="00746228">
        <w:t xml:space="preserve"> </w:t>
      </w:r>
      <w:r w:rsidR="00E01168">
        <w:t>(</w:t>
      </w:r>
      <w:bookmarkStart w:id="2" w:name="_Hlk202621954"/>
      <w:r w:rsidR="00E01168">
        <w:t xml:space="preserve">т.к. ТСН </w:t>
      </w:r>
      <w:r w:rsidR="00F5409A">
        <w:t>СНТ</w:t>
      </w:r>
      <w:r w:rsidR="00E01168">
        <w:t xml:space="preserve"> после подачи судебного приказа вынесено Решение по </w:t>
      </w:r>
      <w:r w:rsidR="00746228">
        <w:t>взысканию</w:t>
      </w:r>
      <w:r w:rsidR="00E01168">
        <w:t xml:space="preserve"> задолженности членских взносов в порядке искового производства)</w:t>
      </w:r>
      <w:r w:rsidR="00746228">
        <w:t>.</w:t>
      </w:r>
      <w:r w:rsidR="00E01168">
        <w:t xml:space="preserve"> </w:t>
      </w:r>
      <w:bookmarkEnd w:id="2"/>
    </w:p>
    <w:p w14:paraId="1ACBE446" w14:textId="09D39BD7" w:rsidR="00E01168" w:rsidRDefault="00E01168" w:rsidP="00842864">
      <w:r>
        <w:t>По уч. 219 ведется работа по подготовке документов на взыскание членских взносов в пор</w:t>
      </w:r>
      <w:r w:rsidR="00746228">
        <w:t>я</w:t>
      </w:r>
      <w:r>
        <w:t>дке иско</w:t>
      </w:r>
      <w:r w:rsidR="00746228">
        <w:t>во</w:t>
      </w:r>
      <w:r>
        <w:t>го производства (</w:t>
      </w:r>
      <w:r w:rsidRPr="00E01168">
        <w:t xml:space="preserve">т.к. ТСН </w:t>
      </w:r>
      <w:r w:rsidR="00F5409A">
        <w:t>СНТ</w:t>
      </w:r>
      <w:r w:rsidRPr="00E01168">
        <w:t xml:space="preserve"> после подачи судебного приказа вынесено Решение по </w:t>
      </w:r>
      <w:r w:rsidR="00746228">
        <w:t>взысканию</w:t>
      </w:r>
      <w:r w:rsidRPr="00E01168">
        <w:t xml:space="preserve"> задолженности членских взносов в порядке искового производства)</w:t>
      </w:r>
      <w:r w:rsidR="00746228">
        <w:t>.</w:t>
      </w:r>
    </w:p>
    <w:p w14:paraId="1C14FE1D" w14:textId="3A063928" w:rsidR="00746228" w:rsidRDefault="000454F9" w:rsidP="00842864">
      <w:r>
        <w:t xml:space="preserve"> </w:t>
      </w:r>
      <w:r w:rsidR="00746228">
        <w:t>Взыскание задолженности с пр</w:t>
      </w:r>
      <w:r>
        <w:t>а</w:t>
      </w:r>
      <w:r w:rsidR="00746228">
        <w:t>вообладателей земельных участ</w:t>
      </w:r>
      <w:r w:rsidR="00214197">
        <w:t>к</w:t>
      </w:r>
      <w:r w:rsidR="00746228">
        <w:t>ов,</w:t>
      </w:r>
      <w:r>
        <w:t xml:space="preserve"> не </w:t>
      </w:r>
      <w:r w:rsidR="00746228">
        <w:t>в</w:t>
      </w:r>
      <w:r w:rsidR="00214197">
        <w:t>ст</w:t>
      </w:r>
      <w:r w:rsidR="00746228">
        <w:t>упивш</w:t>
      </w:r>
      <w:r w:rsidR="00214197">
        <w:t>и</w:t>
      </w:r>
      <w:r w:rsidR="00746228">
        <w:t xml:space="preserve">х в </w:t>
      </w:r>
      <w:r w:rsidR="00F5409A">
        <w:t xml:space="preserve">ТСН </w:t>
      </w:r>
      <w:r w:rsidR="00746228">
        <w:t xml:space="preserve">СНТ </w:t>
      </w:r>
      <w:r w:rsidR="00911CDA">
        <w:t>на практике,</w:t>
      </w:r>
      <w:r w:rsidR="00746228">
        <w:t xml:space="preserve"> происходит в исковом порядке. Судебная практика также подтверждает исковой порядок рассмотрения подобных споров, например апелляционно</w:t>
      </w:r>
      <w:r w:rsidR="00F5409A">
        <w:t>е</w:t>
      </w:r>
      <w:r>
        <w:t xml:space="preserve"> </w:t>
      </w:r>
      <w:r w:rsidR="00746228">
        <w:t>Определение</w:t>
      </w:r>
      <w:r>
        <w:t xml:space="preserve"> </w:t>
      </w:r>
      <w:r w:rsidR="00746228">
        <w:t xml:space="preserve"> </w:t>
      </w:r>
      <w:r>
        <w:t xml:space="preserve"> Московского городского </w:t>
      </w:r>
      <w:r w:rsidR="00746228">
        <w:t>су</w:t>
      </w:r>
      <w:r w:rsidR="00214197">
        <w:t>да</w:t>
      </w:r>
      <w:r>
        <w:t xml:space="preserve"> 10.02.2022 г. по делу № 33-3709/2022.</w:t>
      </w:r>
    </w:p>
    <w:p w14:paraId="7863D7AF" w14:textId="66ECB4A1" w:rsidR="00A31BB1" w:rsidRDefault="00ED0D97" w:rsidP="00A31BB1">
      <w:r>
        <w:t xml:space="preserve">6.  </w:t>
      </w:r>
      <w:r w:rsidR="00A31BB1">
        <w:t xml:space="preserve">Судебными приставами </w:t>
      </w:r>
      <w:r w:rsidR="001B0AEE">
        <w:t xml:space="preserve">  открыто   исполнительное производство   по предоставлению ТСН </w:t>
      </w:r>
      <w:r>
        <w:t xml:space="preserve"> СНТ</w:t>
      </w:r>
      <w:r w:rsidR="001B0AEE">
        <w:t xml:space="preserve">, согласно Решению суда (Истец собственник 102 уч., Ответчик ТСН СНТ)  </w:t>
      </w:r>
      <w:r w:rsidR="000454F9">
        <w:t xml:space="preserve"> </w:t>
      </w:r>
      <w:r w:rsidR="001B0AEE" w:rsidRPr="001B0AEE">
        <w:t xml:space="preserve">документа разграничения полномочий (план участка), согласованного с органами местного самоуправления и определяющего на местности права и обязанности </w:t>
      </w:r>
      <w:r w:rsidR="00F5409A">
        <w:t>ТСН СНТ</w:t>
      </w:r>
      <w:r w:rsidR="001B0AEE" w:rsidRPr="001B0AEE">
        <w:t xml:space="preserve"> по надлежащему пользованию земельным участком, повседневного проведения административно-хозяйственной и организационно-распорядительной деятельности добровольного объединения садоводов.</w:t>
      </w:r>
      <w:r w:rsidR="000454F9">
        <w:t xml:space="preserve"> </w:t>
      </w:r>
      <w:r w:rsidR="00A31BB1">
        <w:t xml:space="preserve">Данный документ не был предоставлен по причине его отсутствия в ТСН СНТ «Спас-Каменка». Федеральным законом от 29.07.2017г.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такой документ не предусмотрен. </w:t>
      </w:r>
    </w:p>
    <w:p w14:paraId="6E6CBA25" w14:textId="18D30797" w:rsidR="00A31BB1" w:rsidRDefault="00911CDA" w:rsidP="00A31BB1">
      <w:r>
        <w:t xml:space="preserve">     </w:t>
      </w:r>
      <w:r w:rsidR="00A31BB1">
        <w:t xml:space="preserve">В целях исполнения решения суда 15.04.2025г. ТСН </w:t>
      </w:r>
      <w:r w:rsidR="00F5409A">
        <w:t xml:space="preserve">СНТ </w:t>
      </w:r>
      <w:r w:rsidR="00A31BB1">
        <w:t>обратился в Комитет по управлению имуществом Администрации Дмитровского муниципального округа Московской области с заявлением по вопросу о возможности подготовки вышеуказанного документа.</w:t>
      </w:r>
    </w:p>
    <w:p w14:paraId="5C2DFF4C" w14:textId="54BAC7E6" w:rsidR="00A31BB1" w:rsidRDefault="00A31BB1" w:rsidP="00A31BB1">
      <w:r>
        <w:t xml:space="preserve">    </w:t>
      </w:r>
      <w:r w:rsidR="00911CDA">
        <w:t xml:space="preserve">  </w:t>
      </w:r>
      <w:r>
        <w:t>27.05.2025г. Комитетом по управлению имуществом Администрации Дмитровского муниципального округа Московской области дан ответ о невозможности подготовки такого документа</w:t>
      </w:r>
      <w:r w:rsidR="00F5409A">
        <w:t xml:space="preserve"> (</w:t>
      </w:r>
      <w:r w:rsidR="003B0A11" w:rsidRPr="00F5409A">
        <w:t xml:space="preserve">Приложение № </w:t>
      </w:r>
      <w:r w:rsidR="00272F6E">
        <w:t>3</w:t>
      </w:r>
      <w:r w:rsidR="00F5409A">
        <w:t>)</w:t>
      </w:r>
      <w:r>
        <w:t xml:space="preserve"> так как действующим законодательством, нормами Федерального закона от 29.07.2017г.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такой документ не предусмотрен. </w:t>
      </w:r>
    </w:p>
    <w:p w14:paraId="6BA7E923" w14:textId="0AE20160" w:rsidR="00A31BB1" w:rsidRPr="00A31BB1" w:rsidRDefault="00911CDA" w:rsidP="00A31BB1">
      <w:pPr>
        <w:rPr>
          <w:b/>
          <w:bCs/>
        </w:rPr>
      </w:pPr>
      <w:r>
        <w:t xml:space="preserve">      </w:t>
      </w:r>
      <w:r w:rsidR="00A31BB1">
        <w:t xml:space="preserve"> Истец   102 уч. обратился в Дмитровский городской суд Московской области с заявлением</w:t>
      </w:r>
      <w:r w:rsidR="003B0A11">
        <w:t xml:space="preserve"> </w:t>
      </w:r>
      <w:r w:rsidR="00272F6E">
        <w:t>(</w:t>
      </w:r>
      <w:r w:rsidR="003B0A11" w:rsidRPr="00272F6E">
        <w:t xml:space="preserve">Приложение № </w:t>
      </w:r>
      <w:r w:rsidR="00272F6E" w:rsidRPr="00272F6E">
        <w:t>2)</w:t>
      </w:r>
      <w:r w:rsidR="00A31BB1">
        <w:t xml:space="preserve"> о разъяснении решения суда от 08.08.2023г. по делу № 2-2813/2023 в порядке ст. 202 ГПК РФ. В данном заявлении Истец 102 уч.  указал что документа, именуемого </w:t>
      </w:r>
      <w:r w:rsidR="00A31BB1" w:rsidRPr="00A31BB1">
        <w:rPr>
          <w:b/>
          <w:bCs/>
        </w:rPr>
        <w:t>«план участка» не существует</w:t>
      </w:r>
      <w:r w:rsidR="00A31BB1">
        <w:t xml:space="preserve">, </w:t>
      </w:r>
      <w:r w:rsidR="00A31BB1" w:rsidRPr="00A31BB1">
        <w:rPr>
          <w:b/>
          <w:bCs/>
        </w:rPr>
        <w:t>подразумевая, что под документом «план участка» понимается проект межевания территории (межевой план) и просил суд дать разъяснения в этой части.</w:t>
      </w:r>
    </w:p>
    <w:p w14:paraId="23A7DE73" w14:textId="04D5F36E" w:rsidR="00A31BB1" w:rsidRDefault="00911CDA" w:rsidP="00A31BB1">
      <w:r>
        <w:t xml:space="preserve">       </w:t>
      </w:r>
      <w:r w:rsidR="00A31BB1">
        <w:t xml:space="preserve"> Определением Дмитровского городского суда Московской области от 12.05.2025г. заявление </w:t>
      </w:r>
      <w:r w:rsidR="003B0A11">
        <w:t>102 уч</w:t>
      </w:r>
      <w:r w:rsidR="00A31BB1">
        <w:t xml:space="preserve">. о разъяснении решения по гражданскому делу № 2-2813/2023 оставлено без удовлетворения.    </w:t>
      </w:r>
    </w:p>
    <w:p w14:paraId="79318D1B" w14:textId="6B63D31F" w:rsidR="00A31BB1" w:rsidRDefault="00911CDA" w:rsidP="00A31BB1">
      <w:r>
        <w:t xml:space="preserve">        </w:t>
      </w:r>
      <w:r w:rsidR="00A31BB1">
        <w:t>Таким образом указанным определением установлено, что истец   102 уч.  обратился к ответчику ТСН СНТ «Спас-Каменка» с заведомо необоснованным требованием в части обязать предоставить ему несуществующий документ, не предусмотренный действующим законодательством Федеральным законом от 29.07.2017г.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Федерации».</w:t>
      </w:r>
    </w:p>
    <w:p w14:paraId="741BE634" w14:textId="7F2A8E9D" w:rsidR="00A31BB1" w:rsidRDefault="00911CDA" w:rsidP="00A31BB1">
      <w:r>
        <w:lastRenderedPageBreak/>
        <w:t xml:space="preserve">  </w:t>
      </w:r>
      <w:r w:rsidR="00A31BB1">
        <w:t>ТСН СНТ подали исковое заявление о пересмотре</w:t>
      </w:r>
      <w:r w:rsidR="003B0A11">
        <w:t xml:space="preserve"> </w:t>
      </w:r>
      <w:r w:rsidR="00A31BB1">
        <w:t xml:space="preserve">  решения Дмитровского городского суда Московской области от 08.08.2023г. по делу № 2-2813/2023 по вновь открывшимся обстоятельствам</w:t>
      </w:r>
      <w:r w:rsidR="003B0A11">
        <w:t xml:space="preserve"> (Истец 102 уч.  подтвердил, что данного документа быть не может, и имел ввиду другой документ).  </w:t>
      </w:r>
    </w:p>
    <w:p w14:paraId="56D7C6EA" w14:textId="17B8C984" w:rsidR="003B0A11" w:rsidRDefault="00911CDA" w:rsidP="00A31BB1">
      <w:r>
        <w:t xml:space="preserve">  </w:t>
      </w:r>
      <w:r w:rsidR="003B0A11">
        <w:t>Исполнительский сбор был взыскан</w:t>
      </w:r>
      <w:r w:rsidR="00AA0580">
        <w:t xml:space="preserve"> </w:t>
      </w:r>
      <w:r w:rsidR="003B0A11">
        <w:t xml:space="preserve"> </w:t>
      </w:r>
      <w:r w:rsidR="00AA0580">
        <w:t xml:space="preserve"> судебными приставами с</w:t>
      </w:r>
      <w:r w:rsidR="003B0A11">
        <w:t xml:space="preserve"> ТСН СНТ в размере 50 000 руб. (в части непредставления несуществующего документа)</w:t>
      </w:r>
      <w:r w:rsidR="00AA0580">
        <w:t>,</w:t>
      </w:r>
      <w:r w:rsidR="00272F6E">
        <w:t xml:space="preserve"> </w:t>
      </w:r>
      <w:r w:rsidR="003B0A11">
        <w:t>госпошлина за подачу в суд искового заявления составила 15 000 руб.</w:t>
      </w:r>
    </w:p>
    <w:p w14:paraId="00C47E57" w14:textId="4B872F0E" w:rsidR="00AB1289" w:rsidRDefault="00911CDA" w:rsidP="00A31BB1">
      <w:pPr>
        <w:rPr>
          <w:color w:val="EE0000"/>
        </w:rPr>
      </w:pPr>
      <w:r>
        <w:t xml:space="preserve">  </w:t>
      </w:r>
      <w:r w:rsidR="003B0A11">
        <w:t>ТСН СНТ был пропущен срок</w:t>
      </w:r>
      <w:r w:rsidR="00ED0D97">
        <w:t xml:space="preserve"> </w:t>
      </w:r>
      <w:r w:rsidR="00272F6E">
        <w:t>апелляционного</w:t>
      </w:r>
      <w:r w:rsidR="003B0A11">
        <w:t xml:space="preserve"> оспаривания </w:t>
      </w:r>
      <w:r w:rsidR="00ED0D97">
        <w:t xml:space="preserve">первоначального </w:t>
      </w:r>
      <w:r w:rsidR="003B0A11">
        <w:t>Решени</w:t>
      </w:r>
      <w:r w:rsidR="00ED0D97">
        <w:t>я суда</w:t>
      </w:r>
      <w:r w:rsidR="00AB1289">
        <w:t xml:space="preserve"> (является нарушением работы Правления). Согласно </w:t>
      </w:r>
      <w:r w:rsidR="00272F6E">
        <w:t>объяснениям</w:t>
      </w:r>
      <w:r w:rsidR="00AB1289">
        <w:t xml:space="preserve">, полученным </w:t>
      </w:r>
      <w:proofErr w:type="gramStart"/>
      <w:r w:rsidR="00AB1289">
        <w:t>от Председателя</w:t>
      </w:r>
      <w:proofErr w:type="gramEnd"/>
      <w:r w:rsidR="00B73608">
        <w:t xml:space="preserve"> </w:t>
      </w:r>
      <w:r w:rsidR="00AA0580">
        <w:t>был привлечен юрист на ведение данного судебного дела на безвозмездной основе, без заключения договора, что является нарушением</w:t>
      </w:r>
      <w:r w:rsidR="00272F6E">
        <w:t>. В связи с чем ответственность за нарушение процедуры судебного делопроизводства возложить на юриста не представляется возможным.</w:t>
      </w:r>
    </w:p>
    <w:p w14:paraId="602E6516" w14:textId="77777777" w:rsidR="00911CDA" w:rsidRDefault="00911CDA" w:rsidP="003A4952">
      <w:pPr>
        <w:ind w:firstLine="360"/>
        <w:rPr>
          <w:b/>
          <w:bCs/>
        </w:rPr>
      </w:pPr>
    </w:p>
    <w:p w14:paraId="38B87B88" w14:textId="44753992" w:rsidR="001B10DE" w:rsidRPr="00ED0D97" w:rsidRDefault="001B10DE" w:rsidP="003A4952">
      <w:pPr>
        <w:ind w:firstLine="360"/>
        <w:rPr>
          <w:b/>
          <w:bCs/>
        </w:rPr>
      </w:pPr>
      <w:r w:rsidRPr="00ED0D97">
        <w:rPr>
          <w:b/>
          <w:bCs/>
        </w:rPr>
        <w:t>Рекомендации ревизионной комиссии:</w:t>
      </w:r>
    </w:p>
    <w:p w14:paraId="4F4BA111" w14:textId="18CC4084" w:rsidR="001B10DE" w:rsidRDefault="001B10DE" w:rsidP="001B10DE">
      <w:pPr>
        <w:pStyle w:val="a3"/>
        <w:numPr>
          <w:ilvl w:val="0"/>
          <w:numId w:val="24"/>
        </w:numPr>
      </w:pPr>
      <w:r>
        <w:t>Необходимо   Правлению   составлять   собственникам информационные отчеты о всех поступления</w:t>
      </w:r>
      <w:r w:rsidR="00AA0580">
        <w:t>х</w:t>
      </w:r>
      <w:r>
        <w:t>, а также расходах не реже 1 раза в месяц</w:t>
      </w:r>
      <w:r w:rsidR="00ED0D97">
        <w:t xml:space="preserve"> в установленные</w:t>
      </w:r>
      <w:r w:rsidR="00A05665">
        <w:t xml:space="preserve"> Положением о Правлении </w:t>
      </w:r>
      <w:r w:rsidR="00ED0D97">
        <w:t xml:space="preserve"> </w:t>
      </w:r>
      <w:r w:rsidR="00A05665">
        <w:t xml:space="preserve"> </w:t>
      </w:r>
      <w:r w:rsidR="00ED0D97">
        <w:t>сроки</w:t>
      </w:r>
      <w:r w:rsidR="00A05665">
        <w:t>, а именно до 25 числа месяца, следующего за отчетным (имели место быть несвоевременное представление отчетов собственникам)</w:t>
      </w:r>
      <w:r>
        <w:t>;</w:t>
      </w:r>
    </w:p>
    <w:p w14:paraId="4EBE2EEA" w14:textId="11ADE742" w:rsidR="001B10DE" w:rsidRDefault="001B10DE" w:rsidP="001B10DE">
      <w:pPr>
        <w:pStyle w:val="a3"/>
        <w:numPr>
          <w:ilvl w:val="0"/>
          <w:numId w:val="24"/>
        </w:numPr>
      </w:pPr>
      <w:r>
        <w:t xml:space="preserve">Своевременно (не позднее 30 дней, а в некоторых случаях незамедлительно) отвечать </w:t>
      </w:r>
      <w:r w:rsidR="00523057">
        <w:t xml:space="preserve"> </w:t>
      </w:r>
      <w:r>
        <w:t xml:space="preserve"> на запросы собственников</w:t>
      </w:r>
      <w:r w:rsidR="00A05665">
        <w:t xml:space="preserve"> (имеют место быть несвоевременные ответы собственникам, что является нарушением)</w:t>
      </w:r>
      <w:r>
        <w:t>;</w:t>
      </w:r>
    </w:p>
    <w:p w14:paraId="3F5DAC45" w14:textId="77777777" w:rsidR="00AB1289" w:rsidRDefault="00523057" w:rsidP="001B10DE">
      <w:pPr>
        <w:pStyle w:val="a3"/>
        <w:numPr>
          <w:ilvl w:val="0"/>
          <w:numId w:val="24"/>
        </w:numPr>
      </w:pPr>
      <w:r>
        <w:t>Активно работать с неплательщиками взносов</w:t>
      </w:r>
      <w:r w:rsidR="00A05665">
        <w:t xml:space="preserve">., </w:t>
      </w:r>
      <w:r w:rsidR="00AB1289">
        <w:t>подавать иски по востребованию задолженности;</w:t>
      </w:r>
    </w:p>
    <w:p w14:paraId="7AADD7BB" w14:textId="4DB006C7" w:rsidR="00523057" w:rsidRDefault="00AB1289" w:rsidP="001B10DE">
      <w:pPr>
        <w:pStyle w:val="a3"/>
        <w:numPr>
          <w:ilvl w:val="0"/>
          <w:numId w:val="24"/>
        </w:numPr>
      </w:pPr>
      <w:r>
        <w:t>Работать с юристами только по трудовым договорам или договорам гражданско-правового хар</w:t>
      </w:r>
      <w:r w:rsidR="00AA0580">
        <w:t>а</w:t>
      </w:r>
      <w:r>
        <w:t>ктера</w:t>
      </w:r>
      <w:r w:rsidR="00AA0580">
        <w:t>.</w:t>
      </w:r>
    </w:p>
    <w:p w14:paraId="3C399963" w14:textId="1C250C72" w:rsidR="00A84CB2" w:rsidRDefault="00A84CB2" w:rsidP="00A84CB2"/>
    <w:p w14:paraId="545B3B84" w14:textId="4B072971" w:rsidR="00911CDA" w:rsidRDefault="00911CDA" w:rsidP="00A84CB2"/>
    <w:p w14:paraId="6CCDC2DE" w14:textId="2CB9B14A" w:rsidR="00911CDA" w:rsidRDefault="00911CDA" w:rsidP="00A84CB2"/>
    <w:p w14:paraId="6AD33A6C" w14:textId="77777777" w:rsidR="00911CDA" w:rsidRDefault="00911CDA" w:rsidP="00A84CB2"/>
    <w:p w14:paraId="3CC24C4E" w14:textId="531466CA" w:rsidR="00A84CB2" w:rsidRDefault="00A84CB2" w:rsidP="00A84CB2">
      <w:r>
        <w:t>Ревизионная комиссия</w:t>
      </w:r>
    </w:p>
    <w:p w14:paraId="453E4EC9" w14:textId="77777777" w:rsidR="00A05665" w:rsidRDefault="00A05665" w:rsidP="00A84CB2"/>
    <w:p w14:paraId="423614F4" w14:textId="0164C1D9" w:rsidR="00A84CB2" w:rsidRDefault="00A84CB2" w:rsidP="00A84CB2">
      <w:r>
        <w:t>Иванова Е.И</w:t>
      </w:r>
      <w:r w:rsidR="003A4952">
        <w:t>.</w:t>
      </w:r>
      <w:r>
        <w:t xml:space="preserve">     </w:t>
      </w:r>
      <w:r w:rsidR="00A05665">
        <w:t xml:space="preserve">                                                                              </w:t>
      </w:r>
      <w:r>
        <w:t xml:space="preserve">     подпись</w:t>
      </w:r>
    </w:p>
    <w:p w14:paraId="7C5C257C" w14:textId="77777777" w:rsidR="001B10DE" w:rsidRDefault="001B10DE" w:rsidP="00842864"/>
    <w:p w14:paraId="4ADC3756" w14:textId="77777777" w:rsidR="00842864" w:rsidRDefault="00842864" w:rsidP="00842864">
      <w:r>
        <w:t xml:space="preserve"> </w:t>
      </w:r>
    </w:p>
    <w:p w14:paraId="7D43BAED" w14:textId="77777777" w:rsidR="00842864" w:rsidRDefault="00842864" w:rsidP="00842864"/>
    <w:p w14:paraId="2A670A63" w14:textId="77777777" w:rsidR="00842864" w:rsidRDefault="00842864" w:rsidP="00842864"/>
    <w:p w14:paraId="4E064E35" w14:textId="77777777" w:rsidR="00842864" w:rsidRPr="00842864" w:rsidRDefault="00842864" w:rsidP="00842864"/>
    <w:p w14:paraId="62F323B7" w14:textId="77777777" w:rsidR="00240E88" w:rsidRDefault="00240E88" w:rsidP="007F3809"/>
    <w:p w14:paraId="24AE02DE" w14:textId="77777777" w:rsidR="00AC4E2D" w:rsidRDefault="00AC4E2D" w:rsidP="00AC4E2D"/>
    <w:p w14:paraId="42B0BAE4" w14:textId="77777777" w:rsidR="00AC4E2D" w:rsidRDefault="00AC4E2D" w:rsidP="00AC4E2D"/>
    <w:sectPr w:rsidR="00AC4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45407"/>
    <w:multiLevelType w:val="multilevel"/>
    <w:tmpl w:val="88C2F9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59B3FA2"/>
    <w:multiLevelType w:val="hybridMultilevel"/>
    <w:tmpl w:val="B0E61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61002"/>
    <w:multiLevelType w:val="multilevel"/>
    <w:tmpl w:val="88C2F9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3A72180"/>
    <w:multiLevelType w:val="multilevel"/>
    <w:tmpl w:val="88C2F9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3B06B1D"/>
    <w:multiLevelType w:val="hybridMultilevel"/>
    <w:tmpl w:val="19262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54FA4"/>
    <w:multiLevelType w:val="hybridMultilevel"/>
    <w:tmpl w:val="F752C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74A55"/>
    <w:multiLevelType w:val="hybridMultilevel"/>
    <w:tmpl w:val="F6721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005F7"/>
    <w:multiLevelType w:val="hybridMultilevel"/>
    <w:tmpl w:val="191232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532F85"/>
    <w:multiLevelType w:val="hybridMultilevel"/>
    <w:tmpl w:val="193A0F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E37366"/>
    <w:multiLevelType w:val="multilevel"/>
    <w:tmpl w:val="3B989C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0672AAE"/>
    <w:multiLevelType w:val="hybridMultilevel"/>
    <w:tmpl w:val="35964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D3002"/>
    <w:multiLevelType w:val="multilevel"/>
    <w:tmpl w:val="88C2F9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616360E"/>
    <w:multiLevelType w:val="multilevel"/>
    <w:tmpl w:val="88C2F9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DB16F10"/>
    <w:multiLevelType w:val="hybridMultilevel"/>
    <w:tmpl w:val="042C4C0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43106ED1"/>
    <w:multiLevelType w:val="hybridMultilevel"/>
    <w:tmpl w:val="2D2AEB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A415B37"/>
    <w:multiLevelType w:val="hybridMultilevel"/>
    <w:tmpl w:val="37F28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9130D7"/>
    <w:multiLevelType w:val="hybridMultilevel"/>
    <w:tmpl w:val="C1C42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A47F3C"/>
    <w:multiLevelType w:val="hybridMultilevel"/>
    <w:tmpl w:val="F22E8B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797CC4"/>
    <w:multiLevelType w:val="hybridMultilevel"/>
    <w:tmpl w:val="A356BFAA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9" w15:restartNumberingAfterBreak="0">
    <w:nsid w:val="59154266"/>
    <w:multiLevelType w:val="multilevel"/>
    <w:tmpl w:val="3B989C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66AC1780"/>
    <w:multiLevelType w:val="multilevel"/>
    <w:tmpl w:val="88C2F9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6D827140"/>
    <w:multiLevelType w:val="multilevel"/>
    <w:tmpl w:val="88C2F9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761E3095"/>
    <w:multiLevelType w:val="hybridMultilevel"/>
    <w:tmpl w:val="024ED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50BBE"/>
    <w:multiLevelType w:val="multilevel"/>
    <w:tmpl w:val="88C2F9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7F9556FD"/>
    <w:multiLevelType w:val="hybridMultilevel"/>
    <w:tmpl w:val="F7B0D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4"/>
  </w:num>
  <w:num w:numId="3">
    <w:abstractNumId w:val="5"/>
  </w:num>
  <w:num w:numId="4">
    <w:abstractNumId w:val="10"/>
  </w:num>
  <w:num w:numId="5">
    <w:abstractNumId w:val="22"/>
  </w:num>
  <w:num w:numId="6">
    <w:abstractNumId w:val="13"/>
  </w:num>
  <w:num w:numId="7">
    <w:abstractNumId w:val="19"/>
  </w:num>
  <w:num w:numId="8">
    <w:abstractNumId w:val="1"/>
  </w:num>
  <w:num w:numId="9">
    <w:abstractNumId w:val="18"/>
  </w:num>
  <w:num w:numId="10">
    <w:abstractNumId w:val="15"/>
  </w:num>
  <w:num w:numId="11">
    <w:abstractNumId w:val="8"/>
  </w:num>
  <w:num w:numId="12">
    <w:abstractNumId w:val="14"/>
  </w:num>
  <w:num w:numId="13">
    <w:abstractNumId w:val="9"/>
  </w:num>
  <w:num w:numId="14">
    <w:abstractNumId w:val="3"/>
  </w:num>
  <w:num w:numId="15">
    <w:abstractNumId w:val="11"/>
  </w:num>
  <w:num w:numId="16">
    <w:abstractNumId w:val="0"/>
  </w:num>
  <w:num w:numId="17">
    <w:abstractNumId w:val="23"/>
  </w:num>
  <w:num w:numId="18">
    <w:abstractNumId w:val="12"/>
  </w:num>
  <w:num w:numId="19">
    <w:abstractNumId w:val="7"/>
  </w:num>
  <w:num w:numId="20">
    <w:abstractNumId w:val="16"/>
  </w:num>
  <w:num w:numId="21">
    <w:abstractNumId w:val="2"/>
  </w:num>
  <w:num w:numId="22">
    <w:abstractNumId w:val="17"/>
  </w:num>
  <w:num w:numId="23">
    <w:abstractNumId w:val="20"/>
  </w:num>
  <w:num w:numId="24">
    <w:abstractNumId w:val="21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E2D"/>
    <w:rsid w:val="0004368D"/>
    <w:rsid w:val="000454F9"/>
    <w:rsid w:val="000B3147"/>
    <w:rsid w:val="001456D8"/>
    <w:rsid w:val="00177C1A"/>
    <w:rsid w:val="001A493C"/>
    <w:rsid w:val="001B0AEE"/>
    <w:rsid w:val="001B10DE"/>
    <w:rsid w:val="001E70B9"/>
    <w:rsid w:val="00204552"/>
    <w:rsid w:val="0020613C"/>
    <w:rsid w:val="00214197"/>
    <w:rsid w:val="00240E88"/>
    <w:rsid w:val="002618A8"/>
    <w:rsid w:val="00272F6E"/>
    <w:rsid w:val="002D428F"/>
    <w:rsid w:val="002D75AE"/>
    <w:rsid w:val="00313ADD"/>
    <w:rsid w:val="00327F41"/>
    <w:rsid w:val="003322F4"/>
    <w:rsid w:val="003378D2"/>
    <w:rsid w:val="00342D6F"/>
    <w:rsid w:val="0037380E"/>
    <w:rsid w:val="003A4486"/>
    <w:rsid w:val="003A4952"/>
    <w:rsid w:val="003A5123"/>
    <w:rsid w:val="003B0A11"/>
    <w:rsid w:val="003E488E"/>
    <w:rsid w:val="00416151"/>
    <w:rsid w:val="00417015"/>
    <w:rsid w:val="00462918"/>
    <w:rsid w:val="00497D5D"/>
    <w:rsid w:val="004C32D0"/>
    <w:rsid w:val="004C3792"/>
    <w:rsid w:val="004C74AF"/>
    <w:rsid w:val="004D1153"/>
    <w:rsid w:val="004F3692"/>
    <w:rsid w:val="00523057"/>
    <w:rsid w:val="00542C25"/>
    <w:rsid w:val="00564F56"/>
    <w:rsid w:val="005B5BE0"/>
    <w:rsid w:val="005C6C80"/>
    <w:rsid w:val="005F13F4"/>
    <w:rsid w:val="00640210"/>
    <w:rsid w:val="00651D84"/>
    <w:rsid w:val="0068751B"/>
    <w:rsid w:val="006968F6"/>
    <w:rsid w:val="006A3F8A"/>
    <w:rsid w:val="006C5F03"/>
    <w:rsid w:val="00746228"/>
    <w:rsid w:val="00776B94"/>
    <w:rsid w:val="00780813"/>
    <w:rsid w:val="00793EEA"/>
    <w:rsid w:val="00797512"/>
    <w:rsid w:val="007B0AD8"/>
    <w:rsid w:val="007D2060"/>
    <w:rsid w:val="007F0A02"/>
    <w:rsid w:val="007F3809"/>
    <w:rsid w:val="00813275"/>
    <w:rsid w:val="0082010D"/>
    <w:rsid w:val="00836C62"/>
    <w:rsid w:val="00842864"/>
    <w:rsid w:val="00890382"/>
    <w:rsid w:val="008C260C"/>
    <w:rsid w:val="00911CDA"/>
    <w:rsid w:val="00953FC8"/>
    <w:rsid w:val="00954CEB"/>
    <w:rsid w:val="00961BB1"/>
    <w:rsid w:val="00965E4B"/>
    <w:rsid w:val="00997FB8"/>
    <w:rsid w:val="009B527C"/>
    <w:rsid w:val="009C7165"/>
    <w:rsid w:val="009E26EC"/>
    <w:rsid w:val="009F62FD"/>
    <w:rsid w:val="00A05665"/>
    <w:rsid w:val="00A31BB1"/>
    <w:rsid w:val="00A3474D"/>
    <w:rsid w:val="00A71223"/>
    <w:rsid w:val="00A84CB2"/>
    <w:rsid w:val="00A923BE"/>
    <w:rsid w:val="00AA0580"/>
    <w:rsid w:val="00AB1289"/>
    <w:rsid w:val="00AB7A43"/>
    <w:rsid w:val="00AC4E2D"/>
    <w:rsid w:val="00AE7E35"/>
    <w:rsid w:val="00B35B66"/>
    <w:rsid w:val="00B40737"/>
    <w:rsid w:val="00B73608"/>
    <w:rsid w:val="00B81150"/>
    <w:rsid w:val="00BC3BF2"/>
    <w:rsid w:val="00BE78E1"/>
    <w:rsid w:val="00BF403A"/>
    <w:rsid w:val="00C04811"/>
    <w:rsid w:val="00C27ECB"/>
    <w:rsid w:val="00C36A80"/>
    <w:rsid w:val="00C56F1B"/>
    <w:rsid w:val="00CC1050"/>
    <w:rsid w:val="00CC47A9"/>
    <w:rsid w:val="00D56CC5"/>
    <w:rsid w:val="00D60C9E"/>
    <w:rsid w:val="00DC4591"/>
    <w:rsid w:val="00DF1D6B"/>
    <w:rsid w:val="00DF7FAB"/>
    <w:rsid w:val="00E01168"/>
    <w:rsid w:val="00E315A4"/>
    <w:rsid w:val="00E932CD"/>
    <w:rsid w:val="00ED0D97"/>
    <w:rsid w:val="00EF66EF"/>
    <w:rsid w:val="00F45C68"/>
    <w:rsid w:val="00F5409A"/>
    <w:rsid w:val="00F9745A"/>
    <w:rsid w:val="00FC6DB2"/>
    <w:rsid w:val="00FE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A5DF4"/>
  <w15:chartTrackingRefBased/>
  <w15:docId w15:val="{04DE5419-2C59-486B-9AB6-5B6FC8963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2F4"/>
    <w:pPr>
      <w:ind w:left="720"/>
      <w:contextualSpacing/>
    </w:pPr>
  </w:style>
  <w:style w:type="table" w:styleId="a4">
    <w:name w:val="Table Grid"/>
    <w:basedOn w:val="a1"/>
    <w:uiPriority w:val="39"/>
    <w:rsid w:val="007B0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png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8</Pages>
  <Words>1245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 Elena Igorevna</dc:creator>
  <cp:keywords/>
  <dc:description/>
  <cp:lastModifiedBy>Userok</cp:lastModifiedBy>
  <cp:revision>16</cp:revision>
  <dcterms:created xsi:type="dcterms:W3CDTF">2025-07-05T13:03:00Z</dcterms:created>
  <dcterms:modified xsi:type="dcterms:W3CDTF">2025-07-05T17:43:00Z</dcterms:modified>
</cp:coreProperties>
</file>